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0374" w14:textId="2B70FDC5" w:rsidR="009D6725" w:rsidRDefault="009D6725" w:rsidP="009D6725">
      <w:pPr>
        <w:spacing w:after="0" w:line="240" w:lineRule="auto"/>
        <w:jc w:val="center"/>
        <w:rPr>
          <w:rFonts w:ascii="Times New Roman" w:eastAsia="Times New Roman" w:hAnsi="Times New Roman" w:cs="Times New Roman"/>
          <w:b/>
          <w:bCs/>
          <w:color w:val="414142"/>
          <w:sz w:val="27"/>
          <w:szCs w:val="27"/>
          <w:lang w:eastAsia="lv-LV"/>
        </w:rPr>
      </w:pPr>
      <w:bookmarkStart w:id="0" w:name="674674"/>
      <w:bookmarkStart w:id="1" w:name="n-674674"/>
      <w:bookmarkEnd w:id="0"/>
      <w:bookmarkEnd w:id="1"/>
      <w:r w:rsidRPr="009D6725">
        <w:rPr>
          <w:rFonts w:ascii="Times New Roman" w:eastAsia="Times New Roman" w:hAnsi="Times New Roman" w:cs="Times New Roman"/>
          <w:b/>
          <w:bCs/>
          <w:color w:val="414142"/>
          <w:sz w:val="27"/>
          <w:szCs w:val="27"/>
          <w:lang w:eastAsia="lv-LV"/>
        </w:rPr>
        <w:t>LĪGUMS PAR LIEPĀJAS PAŠVALDĪBAS LĪDZFINANSĒJUMU BĒRNU UZRAUDZĪBAS PAKALPOJUMA SNIEDZĒJAM Nr.</w:t>
      </w:r>
    </w:p>
    <w:p w14:paraId="28C428CA" w14:textId="77777777" w:rsidR="000F11FC" w:rsidRPr="009D6725" w:rsidRDefault="000F11FC" w:rsidP="009D6725">
      <w:pPr>
        <w:spacing w:after="0" w:line="240" w:lineRule="auto"/>
        <w:jc w:val="center"/>
        <w:rPr>
          <w:rFonts w:ascii="Times New Roman" w:eastAsia="Times New Roman" w:hAnsi="Times New Roman" w:cs="Times New Roman"/>
          <w:b/>
          <w:bCs/>
          <w:color w:val="414142"/>
          <w:sz w:val="27"/>
          <w:szCs w:val="27"/>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274"/>
        <w:gridCol w:w="4274"/>
      </w:tblGrid>
      <w:tr w:rsidR="009D6725" w:rsidRPr="009D6725" w14:paraId="2E3C2258" w14:textId="77777777" w:rsidTr="009D6725">
        <w:tc>
          <w:tcPr>
            <w:tcW w:w="2500" w:type="pct"/>
            <w:tcBorders>
              <w:top w:val="nil"/>
              <w:left w:val="nil"/>
              <w:bottom w:val="nil"/>
              <w:right w:val="nil"/>
            </w:tcBorders>
            <w:shd w:val="clear" w:color="auto" w:fill="FFFFFF"/>
            <w:hideMark/>
          </w:tcPr>
          <w:p w14:paraId="2A705A40" w14:textId="77777777" w:rsidR="009D6725" w:rsidRPr="009D6725" w:rsidRDefault="009D6725" w:rsidP="009D6725">
            <w:pPr>
              <w:spacing w:after="0" w:line="240" w:lineRule="auto"/>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Liepājā</w:t>
            </w:r>
          </w:p>
        </w:tc>
        <w:tc>
          <w:tcPr>
            <w:tcW w:w="2500" w:type="pct"/>
            <w:tcBorders>
              <w:top w:val="nil"/>
              <w:left w:val="nil"/>
              <w:bottom w:val="nil"/>
              <w:right w:val="nil"/>
            </w:tcBorders>
            <w:shd w:val="clear" w:color="auto" w:fill="FFFFFF"/>
            <w:hideMark/>
          </w:tcPr>
          <w:p w14:paraId="33430C50" w14:textId="77777777" w:rsidR="009D6725" w:rsidRPr="009D6725" w:rsidRDefault="009D6725" w:rsidP="009D6725">
            <w:pPr>
              <w:spacing w:after="0" w:line="240" w:lineRule="auto"/>
              <w:jc w:val="right"/>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w:t>
            </w:r>
            <w:r w:rsidRPr="009D6725">
              <w:rPr>
                <w:rFonts w:ascii="Arial" w:eastAsia="Times New Roman" w:hAnsi="Arial" w:cs="Arial"/>
                <w:b/>
                <w:bCs/>
                <w:color w:val="414142"/>
                <w:sz w:val="20"/>
                <w:szCs w:val="20"/>
                <w:bdr w:val="none" w:sz="0" w:space="0" w:color="auto" w:frame="1"/>
                <w:lang w:eastAsia="lv-LV"/>
              </w:rPr>
              <w:t>gada</w:t>
            </w:r>
          </w:p>
        </w:tc>
      </w:tr>
    </w:tbl>
    <w:p w14:paraId="53FE562C" w14:textId="68441045"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b/>
          <w:bCs/>
          <w:color w:val="414142"/>
          <w:sz w:val="20"/>
          <w:szCs w:val="20"/>
          <w:bdr w:val="none" w:sz="0" w:space="0" w:color="auto" w:frame="1"/>
          <w:lang w:eastAsia="lv-LV"/>
        </w:rPr>
        <w:t xml:space="preserve">Liepājas </w:t>
      </w:r>
      <w:proofErr w:type="spellStart"/>
      <w:r w:rsidR="000F11FC">
        <w:rPr>
          <w:rFonts w:ascii="Arial" w:eastAsia="Times New Roman" w:hAnsi="Arial" w:cs="Arial"/>
          <w:b/>
          <w:bCs/>
          <w:color w:val="414142"/>
          <w:sz w:val="20"/>
          <w:szCs w:val="20"/>
          <w:bdr w:val="none" w:sz="0" w:space="0" w:color="auto" w:frame="1"/>
          <w:lang w:eastAsia="lv-LV"/>
        </w:rPr>
        <w:t>valsts</w:t>
      </w:r>
      <w:r w:rsidRPr="009D6725">
        <w:rPr>
          <w:rFonts w:ascii="Arial" w:eastAsia="Times New Roman" w:hAnsi="Arial" w:cs="Arial"/>
          <w:b/>
          <w:bCs/>
          <w:color w:val="414142"/>
          <w:sz w:val="20"/>
          <w:szCs w:val="20"/>
          <w:bdr w:val="none" w:sz="0" w:space="0" w:color="auto" w:frame="1"/>
          <w:lang w:eastAsia="lv-LV"/>
        </w:rPr>
        <w:t>pilsētas</w:t>
      </w:r>
      <w:proofErr w:type="spellEnd"/>
      <w:r w:rsidRPr="009D6725">
        <w:rPr>
          <w:rFonts w:ascii="Arial" w:eastAsia="Times New Roman" w:hAnsi="Arial" w:cs="Arial"/>
          <w:b/>
          <w:bCs/>
          <w:color w:val="414142"/>
          <w:sz w:val="20"/>
          <w:szCs w:val="20"/>
          <w:bdr w:val="none" w:sz="0" w:space="0" w:color="auto" w:frame="1"/>
          <w:lang w:eastAsia="lv-LV"/>
        </w:rPr>
        <w:t xml:space="preserve"> pašvaldības iestāde "Liepājas  Izglītības pārvalde"</w:t>
      </w:r>
      <w:r w:rsidRPr="009D6725">
        <w:rPr>
          <w:rFonts w:ascii="Arial" w:eastAsia="Times New Roman" w:hAnsi="Arial" w:cs="Arial"/>
          <w:color w:val="414142"/>
          <w:sz w:val="20"/>
          <w:szCs w:val="20"/>
          <w:lang w:eastAsia="lv-LV"/>
        </w:rPr>
        <w:t> (turpmāk arī – pašvaldība), </w:t>
      </w:r>
      <w:r w:rsidRPr="009D6725">
        <w:rPr>
          <w:rFonts w:ascii="Arial" w:eastAsia="Times New Roman" w:hAnsi="Arial" w:cs="Arial"/>
          <w:b/>
          <w:bCs/>
          <w:color w:val="414142"/>
          <w:sz w:val="20"/>
          <w:szCs w:val="20"/>
          <w:bdr w:val="none" w:sz="0" w:space="0" w:color="auto" w:frame="1"/>
          <w:lang w:eastAsia="lv-LV"/>
        </w:rPr>
        <w:t>tās vadītājas</w:t>
      </w:r>
      <w:r w:rsidRPr="009D6725">
        <w:rPr>
          <w:rFonts w:ascii="Arial" w:eastAsia="Times New Roman" w:hAnsi="Arial" w:cs="Arial"/>
          <w:color w:val="414142"/>
          <w:sz w:val="20"/>
          <w:szCs w:val="20"/>
          <w:lang w:eastAsia="lv-LV"/>
        </w:rPr>
        <w:t> …….. personā, kura rīkojas saskaņā ar Liepājas pilsētas domes 2016.gada 19.maija saistošajiem noteikumiem Nr.10 "SAISTOŠIE </w:t>
      </w:r>
      <w:hyperlink r:id="rId4" w:tgtFrame="_blank" w:history="1">
        <w:r w:rsidRPr="00725464">
          <w:rPr>
            <w:rFonts w:ascii="Arial" w:eastAsia="Times New Roman" w:hAnsi="Arial" w:cs="Arial"/>
            <w:color w:val="595959" w:themeColor="text1" w:themeTint="A6"/>
            <w:sz w:val="20"/>
            <w:szCs w:val="20"/>
            <w:lang w:eastAsia="lv-LV"/>
          </w:rPr>
          <w:t>NOTEIKUM</w:t>
        </w:r>
        <w:r w:rsidRPr="00725464">
          <w:rPr>
            <w:rFonts w:ascii="Arial" w:eastAsia="Times New Roman" w:hAnsi="Arial" w:cs="Arial"/>
            <w:sz w:val="20"/>
            <w:szCs w:val="20"/>
            <w:lang w:eastAsia="lv-LV"/>
          </w:rPr>
          <w:t>I</w:t>
        </w:r>
      </w:hyperlink>
      <w:r w:rsidRPr="009D6725">
        <w:rPr>
          <w:rFonts w:ascii="Arial" w:eastAsia="Times New Roman" w:hAnsi="Arial" w:cs="Arial"/>
          <w:color w:val="414142"/>
          <w:sz w:val="20"/>
          <w:szCs w:val="20"/>
          <w:lang w:eastAsia="lv-LV"/>
        </w:rPr>
        <w:t> PAR PAŠVALDĪBAS LĪDZFINANSĒJUMU PRIVĀTAJAM BĒRNU UZRAUDZĪBAS PAKALPOJUMA SNIEDZĒJAM" un, ……………………….., (turpmāk – aukle) personas kods ………………., deklarētā dzīvesvieta …………………….……… un …………………..…….., personas kods ………..………………., deklarētā dzīvesvieta ……………………….. (turpmāk – vecāks), līdzēji (saukti atsevišķi arī – puse, kopā – puses) noslēdz šādu līgumu (turpmāk – līgums)</w:t>
      </w:r>
    </w:p>
    <w:p w14:paraId="5F3CA568"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1. LĪGUMA PRIEKŠMETS</w:t>
      </w:r>
    </w:p>
    <w:p w14:paraId="34A2754D"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Pašvaldība apņemas ……… gadā sniegt līdzfinansējumu bērna uzraudzības pakalpojuma sniegšanā, kurā aukle sniedz bērna uzraudzības un izglītošanas pakalpojumu …………………….…….., bērnam …………………..………., personas kods ………………………., deklarētā dzīvesvieta ……………………………….., (turpmāk – pašvaldības līdzfinansējums).</w:t>
      </w:r>
    </w:p>
    <w:p w14:paraId="577AE1BD"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2. LĪDZFINANSĒŠANAS NOSACĪJUMI</w:t>
      </w:r>
    </w:p>
    <w:p w14:paraId="2032F68A" w14:textId="0AA8B5B4"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2.1. Pašvaldības līdzfinansējums ir 1</w:t>
      </w:r>
      <w:r w:rsidR="000F11FC">
        <w:rPr>
          <w:rFonts w:ascii="Arial" w:eastAsia="Times New Roman" w:hAnsi="Arial" w:cs="Arial"/>
          <w:color w:val="414142"/>
          <w:sz w:val="20"/>
          <w:szCs w:val="20"/>
          <w:lang w:eastAsia="lv-LV"/>
        </w:rPr>
        <w:t>25</w:t>
      </w:r>
      <w:r w:rsidRPr="009D6725">
        <w:rPr>
          <w:rFonts w:ascii="Arial" w:eastAsia="Times New Roman" w:hAnsi="Arial" w:cs="Arial"/>
          <w:color w:val="414142"/>
          <w:sz w:val="20"/>
          <w:szCs w:val="20"/>
          <w:lang w:eastAsia="lv-LV"/>
        </w:rPr>
        <w:t>,00 EUR mēnesī, kurā nav iekļauta bērna ēdināšana.</w:t>
      </w:r>
    </w:p>
    <w:p w14:paraId="5E28CEAB" w14:textId="58B99E68"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xml:space="preserve">2.2. Pamatojoties uz Liepājas </w:t>
      </w:r>
      <w:proofErr w:type="spellStart"/>
      <w:r w:rsidR="000F11FC">
        <w:rPr>
          <w:rFonts w:ascii="Arial" w:eastAsia="Times New Roman" w:hAnsi="Arial" w:cs="Arial"/>
          <w:color w:val="414142"/>
          <w:sz w:val="20"/>
          <w:szCs w:val="20"/>
          <w:lang w:eastAsia="lv-LV"/>
        </w:rPr>
        <w:t>valsts</w:t>
      </w:r>
      <w:r w:rsidRPr="009D6725">
        <w:rPr>
          <w:rFonts w:ascii="Arial" w:eastAsia="Times New Roman" w:hAnsi="Arial" w:cs="Arial"/>
          <w:color w:val="414142"/>
          <w:sz w:val="20"/>
          <w:szCs w:val="20"/>
          <w:lang w:eastAsia="lv-LV"/>
        </w:rPr>
        <w:t>pi</w:t>
      </w:r>
      <w:r w:rsidR="00E44D8E">
        <w:rPr>
          <w:rFonts w:ascii="Arial" w:eastAsia="Times New Roman" w:hAnsi="Arial" w:cs="Arial"/>
          <w:color w:val="414142"/>
          <w:sz w:val="20"/>
          <w:szCs w:val="20"/>
          <w:lang w:eastAsia="lv-LV"/>
        </w:rPr>
        <w:t>lsētas</w:t>
      </w:r>
      <w:proofErr w:type="spellEnd"/>
      <w:r w:rsidR="00E44D8E">
        <w:rPr>
          <w:rFonts w:ascii="Arial" w:eastAsia="Times New Roman" w:hAnsi="Arial" w:cs="Arial"/>
          <w:color w:val="414142"/>
          <w:sz w:val="20"/>
          <w:szCs w:val="20"/>
          <w:lang w:eastAsia="lv-LV"/>
        </w:rPr>
        <w:t xml:space="preserve"> </w:t>
      </w:r>
      <w:r w:rsidR="000F11FC">
        <w:rPr>
          <w:rFonts w:ascii="Arial" w:eastAsia="Times New Roman" w:hAnsi="Arial" w:cs="Arial"/>
          <w:color w:val="414142"/>
          <w:sz w:val="20"/>
          <w:szCs w:val="20"/>
          <w:lang w:eastAsia="lv-LV"/>
        </w:rPr>
        <w:t xml:space="preserve"> pašvaldības </w:t>
      </w:r>
      <w:r w:rsidR="00E44D8E">
        <w:rPr>
          <w:rFonts w:ascii="Arial" w:eastAsia="Times New Roman" w:hAnsi="Arial" w:cs="Arial"/>
          <w:color w:val="414142"/>
          <w:sz w:val="20"/>
          <w:szCs w:val="20"/>
          <w:lang w:eastAsia="lv-LV"/>
        </w:rPr>
        <w:t>domes 20</w:t>
      </w:r>
      <w:r w:rsidR="000F11FC">
        <w:rPr>
          <w:rFonts w:ascii="Arial" w:eastAsia="Times New Roman" w:hAnsi="Arial" w:cs="Arial"/>
          <w:color w:val="414142"/>
          <w:sz w:val="20"/>
          <w:szCs w:val="20"/>
          <w:lang w:eastAsia="lv-LV"/>
        </w:rPr>
        <w:t>23</w:t>
      </w:r>
      <w:r w:rsidRPr="009D6725">
        <w:rPr>
          <w:rFonts w:ascii="Arial" w:eastAsia="Times New Roman" w:hAnsi="Arial" w:cs="Arial"/>
          <w:color w:val="414142"/>
          <w:sz w:val="20"/>
          <w:szCs w:val="20"/>
          <w:lang w:eastAsia="lv-LV"/>
        </w:rPr>
        <w:t xml:space="preserve">. gada </w:t>
      </w:r>
      <w:r w:rsidR="00E44D8E">
        <w:rPr>
          <w:rFonts w:ascii="Arial" w:eastAsia="Times New Roman" w:hAnsi="Arial" w:cs="Arial"/>
          <w:color w:val="414142"/>
          <w:sz w:val="20"/>
          <w:szCs w:val="20"/>
          <w:lang w:eastAsia="lv-LV"/>
        </w:rPr>
        <w:t>2</w:t>
      </w:r>
      <w:r w:rsidR="000F11FC">
        <w:rPr>
          <w:rFonts w:ascii="Arial" w:eastAsia="Times New Roman" w:hAnsi="Arial" w:cs="Arial"/>
          <w:color w:val="414142"/>
          <w:sz w:val="20"/>
          <w:szCs w:val="20"/>
          <w:lang w:eastAsia="lv-LV"/>
        </w:rPr>
        <w:t>1</w:t>
      </w:r>
      <w:r w:rsidR="00E44D8E">
        <w:rPr>
          <w:rFonts w:ascii="Arial" w:eastAsia="Times New Roman" w:hAnsi="Arial" w:cs="Arial"/>
          <w:color w:val="414142"/>
          <w:sz w:val="20"/>
          <w:szCs w:val="20"/>
          <w:lang w:eastAsia="lv-LV"/>
        </w:rPr>
        <w:t xml:space="preserve">.decembra saistošajiem noteikumiem Nr. </w:t>
      </w:r>
      <w:r w:rsidR="000F11FC">
        <w:rPr>
          <w:rFonts w:ascii="Arial" w:eastAsia="Times New Roman" w:hAnsi="Arial" w:cs="Arial"/>
          <w:color w:val="414142"/>
          <w:sz w:val="20"/>
          <w:szCs w:val="20"/>
          <w:lang w:eastAsia="lv-LV"/>
        </w:rPr>
        <w:t>22</w:t>
      </w:r>
      <w:r w:rsidRPr="009D6725">
        <w:rPr>
          <w:rFonts w:ascii="Arial" w:eastAsia="Times New Roman" w:hAnsi="Arial" w:cs="Arial"/>
          <w:color w:val="414142"/>
          <w:sz w:val="20"/>
          <w:szCs w:val="20"/>
          <w:lang w:eastAsia="lv-LV"/>
        </w:rPr>
        <w:t xml:space="preserve"> "PAR LIEPĀJAS </w:t>
      </w:r>
      <w:r w:rsidR="000F11FC">
        <w:rPr>
          <w:rFonts w:ascii="Arial" w:eastAsia="Times New Roman" w:hAnsi="Arial" w:cs="Arial"/>
          <w:color w:val="414142"/>
          <w:sz w:val="20"/>
          <w:szCs w:val="20"/>
          <w:lang w:eastAsia="lv-LV"/>
        </w:rPr>
        <w:t>VALSTS</w:t>
      </w:r>
      <w:r w:rsidRPr="009D6725">
        <w:rPr>
          <w:rFonts w:ascii="Arial" w:eastAsia="Times New Roman" w:hAnsi="Arial" w:cs="Arial"/>
          <w:color w:val="414142"/>
          <w:sz w:val="20"/>
          <w:szCs w:val="20"/>
          <w:lang w:eastAsia="lv-LV"/>
        </w:rPr>
        <w:t>P</w:t>
      </w:r>
      <w:r w:rsidR="00E44D8E">
        <w:rPr>
          <w:rFonts w:ascii="Arial" w:eastAsia="Times New Roman" w:hAnsi="Arial" w:cs="Arial"/>
          <w:color w:val="414142"/>
          <w:sz w:val="20"/>
          <w:szCs w:val="20"/>
          <w:lang w:eastAsia="lv-LV"/>
        </w:rPr>
        <w:t>ILSĒTAS PAŠVALDĪBAS BUDŽETU 20</w:t>
      </w:r>
      <w:r w:rsidR="000F11FC">
        <w:rPr>
          <w:rFonts w:ascii="Arial" w:eastAsia="Times New Roman" w:hAnsi="Arial" w:cs="Arial"/>
          <w:color w:val="414142"/>
          <w:sz w:val="20"/>
          <w:szCs w:val="20"/>
          <w:lang w:eastAsia="lv-LV"/>
        </w:rPr>
        <w:t>24</w:t>
      </w:r>
      <w:r w:rsidR="00E44D8E">
        <w:rPr>
          <w:rFonts w:ascii="Arial" w:eastAsia="Times New Roman" w:hAnsi="Arial" w:cs="Arial"/>
          <w:color w:val="414142"/>
          <w:sz w:val="20"/>
          <w:szCs w:val="20"/>
          <w:lang w:eastAsia="lv-LV"/>
        </w:rPr>
        <w:t>.</w:t>
      </w:r>
      <w:r w:rsidRPr="009D6725">
        <w:rPr>
          <w:rFonts w:ascii="Arial" w:eastAsia="Times New Roman" w:hAnsi="Arial" w:cs="Arial"/>
          <w:color w:val="414142"/>
          <w:sz w:val="20"/>
          <w:szCs w:val="20"/>
          <w:lang w:eastAsia="lv-LV"/>
        </w:rPr>
        <w:t xml:space="preserve"> GADAM", pašvaldības budžeta ieņēmumu daļas neizpildes gadījumā, pašvaldības atbalsts tiek samazināts proporcionāli pašvaldības ieņēmumu samazinājumam, par to informējot pārējās puses līdz katra mēneša 15.datumam.</w:t>
      </w:r>
    </w:p>
    <w:p w14:paraId="5E8D5B59"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2.3. Vecāks nekavējoties informē pašvaldību, ja tiek mainīta vecāka un/vai bērna dzīvesvieta.</w:t>
      </w:r>
    </w:p>
    <w:p w14:paraId="6FF64E61"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3. NORĒĶINU KĀRTĪBA</w:t>
      </w:r>
    </w:p>
    <w:p w14:paraId="5729D267"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3.1. Pašvaldības līdzfinansējums tiek ieskaitīts aukles norēķinu kontā kredītiestādē līdz mēneša 15.datumam par iepriekšējo mēnesi.</w:t>
      </w:r>
    </w:p>
    <w:p w14:paraId="7A799A4C"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3.2. Pašvaldības līdzfinansējums netiek piešķirts par dienām, kad bērns bez attaisnojoša iemesla nesaņem bērnu uzraudzības pakalpojumu. Šajā gadījumā pašvaldības līdzfinansējums tiek aprēķināts proporcionāli dienu skaitam, kad bērns saņēmis bērnu uzraudzības pakalpojumu. Par attaisnojošu iemeslu ir uzskatāma bērna prombūtne veselības stāvokļa dēļ, ko apliecina ģimenes ārsta izziņa.</w:t>
      </w:r>
    </w:p>
    <w:p w14:paraId="2621507E"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xml:space="preserve">3.3. Pašvaldības līdzfinansējuma izmaksa tiek pārtraukta pēc 30 dienām no brīža, kad bērna likumiskajam pārstāvim rakstiski tiek piedāvāta vieta pašvaldības pirmsskolas izglītības iestādē, kuras rindā bērns ir reģistrēts (neatkarīgi no tā, vai bērns ir reģistrēts uzņemšanai vienā vai vairākās pirmsskolas izglītības iestādēs). Ja bērns tiek uzņemts pašvaldības pirmsskolas </w:t>
      </w:r>
      <w:r w:rsidRPr="009D6725">
        <w:rPr>
          <w:rFonts w:ascii="Arial" w:eastAsia="Times New Roman" w:hAnsi="Arial" w:cs="Arial"/>
          <w:color w:val="414142"/>
          <w:sz w:val="20"/>
          <w:szCs w:val="20"/>
          <w:lang w:eastAsia="lv-LV"/>
        </w:rPr>
        <w:lastRenderedPageBreak/>
        <w:t>izglītības iestādē, pašvaldības līdzfinansējumu aprēķina proporcionāli dienu skaitam, kad bērns ir saņēmis aukles pakalpojumus vai nav tos saņēmis attaisnojoša iemesla dēļ. Līdzfinansējumu nepārtrauc, ja bērnam piedāvāta vieta pašvaldības pirmskolas izglītības iestādē, bet pamatojoties uz ārsta atzinumu bērns nevar apmeklēt pirmsskolas izglītības iestādi psiholoģiskās sagatavotības vai veselības stāvokļa dēļ.</w:t>
      </w:r>
    </w:p>
    <w:p w14:paraId="6719C76A"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3.4. Aukle katru mēnesi līdz mēneša pēdējam datumam iesniedz pašvaldībai bērna vecāka parakstītu bērnu uzraudzības un izglītošanas pakalpojuma sniegšanas tabulu – atskaiti (</w:t>
      </w:r>
      <w:hyperlink r:id="rId5" w:anchor="piel0" w:history="1">
        <w:r w:rsidRPr="009D6725">
          <w:rPr>
            <w:rFonts w:ascii="Arial" w:eastAsia="Times New Roman" w:hAnsi="Arial" w:cs="Arial"/>
            <w:color w:val="16497B"/>
            <w:sz w:val="20"/>
            <w:szCs w:val="20"/>
            <w:lang w:eastAsia="lv-LV"/>
          </w:rPr>
          <w:t>pielikumā</w:t>
        </w:r>
      </w:hyperlink>
      <w:r w:rsidRPr="009D6725">
        <w:rPr>
          <w:rFonts w:ascii="Arial" w:eastAsia="Times New Roman" w:hAnsi="Arial" w:cs="Arial"/>
          <w:color w:val="414142"/>
          <w:sz w:val="20"/>
          <w:szCs w:val="20"/>
          <w:lang w:eastAsia="lv-LV"/>
        </w:rPr>
        <w:t>), kurā norādītas visas pakalpojuma sniegšanas mēneša dienas un stundas.</w:t>
      </w:r>
    </w:p>
    <w:p w14:paraId="63041EF3"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3.5. Aukles pienākums ir atmaksāt pašvaldības līdzfinansējuma pārmaksu, ja tā izveidojusies sniedzot nepatiesu vai nepilnīgu informāciju. Aukle mēneša laikā pēc pašvaldības paziņojuma saņemšanas, atmaksā pārmaksātos līdzekļus paziņojumā norādītajā norēķinu kontā.</w:t>
      </w:r>
    </w:p>
    <w:p w14:paraId="30242A44"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4. NEPĀRVARAMĀ VARA</w:t>
      </w:r>
    </w:p>
    <w:p w14:paraId="7676524F"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4.1. Neviena puse nav atbildīga par savu saistību daļēju vai pilnīgu neizpildi, ja tas ir saistīts ar nepārvaramas varas apstākļiem (dabas katastrofas, karadarbība, valsts pārvaldes iestāžu lēmumi un citi notikumi), kas tieši ietekmē šā līguma izpildi un kas notikuši pēc līguma noslēgšanas, un to iestāšanās nav atkarīga no pušu gribas.</w:t>
      </w:r>
    </w:p>
    <w:p w14:paraId="34409836"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4.2. Puse, kuras saistību izpilde kļūst neiespējama 4.1.punktā minēto apstākļu dēļ, 5 (piecu) dienu laikā brīdina otru pusi par augstāk minēto apstākļu iestāšanos, un puses vienojas par tālāko sadarbību.</w:t>
      </w:r>
    </w:p>
    <w:p w14:paraId="2D1C1EAB"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5. PUŠU ATBILDĪBA</w:t>
      </w:r>
    </w:p>
    <w:p w14:paraId="2AD151CD"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Puses par līgumsaistību neizpildi vai daļēju izpildi ir atbildīgas atbilstoši normatīvajiem aktiem.</w:t>
      </w:r>
    </w:p>
    <w:p w14:paraId="3B3BEA7B"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6. PAPILDUS </w:t>
      </w:r>
      <w:hyperlink r:id="rId6" w:tgtFrame="_blank" w:history="1">
        <w:r w:rsidRPr="00725464">
          <w:rPr>
            <w:rFonts w:ascii="Arial" w:eastAsia="Times New Roman" w:hAnsi="Arial" w:cs="Arial"/>
            <w:b/>
            <w:bCs/>
            <w:color w:val="595959" w:themeColor="text1" w:themeTint="A6"/>
            <w:sz w:val="20"/>
            <w:szCs w:val="20"/>
            <w:lang w:eastAsia="lv-LV"/>
          </w:rPr>
          <w:t>NOTEIKUMI</w:t>
        </w:r>
      </w:hyperlink>
    </w:p>
    <w:p w14:paraId="049F55B1"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6.1. Puses var rakstiski noslēgt papildu vienošanās, kas noformējamas kā līguma pielikumi un ir līguma neatņemamas sastāvdaļas.</w:t>
      </w:r>
    </w:p>
    <w:p w14:paraId="6FA71514"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6.2. Visas līguma izpildes gaitā radušās domstarpības ir izšķiramas kopējās pušu pārstāvju apspriedēs, kas tiek protokolētas. Jautājumi, kuros puses nevar vienoties, tiek izšķirti normatīvajos aktos paredzētajā kārtībā.</w:t>
      </w:r>
    </w:p>
    <w:p w14:paraId="77E09FCA"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6.3. Pušu savstarpējās saistības, kuras nav atrunātas šajā līgumā, regulē normatīvie akti.</w:t>
      </w:r>
    </w:p>
    <w:p w14:paraId="7F5F0E93"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7. LĪGUMA IZPILDE UN IZBEIGŠANA</w:t>
      </w:r>
    </w:p>
    <w:p w14:paraId="7CBF29E4"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7.1. Līgums stājas spēkā ar ……………………......</w:t>
      </w:r>
    </w:p>
    <w:p w14:paraId="4CB6FFD8"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7.2. Līguma termiņš līdz …………………………..</w:t>
      </w:r>
    </w:p>
    <w:p w14:paraId="2381F097"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7.3. Ja normatīvajos aktos tiek veikti grozījumi, pusēm vienojoties, līguma darbības laiks var tikt pagarināts.</w:t>
      </w:r>
    </w:p>
    <w:p w14:paraId="4AF792A4"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lastRenderedPageBreak/>
        <w:t>7.4. Līgumu var izbeigt pirms termiņa, pusēm rakstiski vienojoties.</w:t>
      </w:r>
    </w:p>
    <w:p w14:paraId="16C189DA" w14:textId="77777777" w:rsidR="009D6725" w:rsidRP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7.5. Puses var izbeigt līgumu vienpusēji, ja kāda no pusēm nepilda ar līgumu uzņemtās saistības. Par nodomu izbeigt līgumu puses jābrīdina vismaz vienu mēnesi iepriekš.</w:t>
      </w:r>
    </w:p>
    <w:p w14:paraId="19D235BB" w14:textId="77777777" w:rsidR="009D6725" w:rsidRDefault="009D6725" w:rsidP="000F11F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7.6. Līgums ir sastādīts latviešu valodā uz 3 (trīs) lapām trijos eksemplāros, no kuriem viens glabājas pašvaldībā, otrs – pie aukles, bet trešais – pie vecāka. Visiem eksemplāriem ir vienāds juridiskais spēks.</w:t>
      </w:r>
    </w:p>
    <w:p w14:paraId="7D90D3EA" w14:textId="77777777" w:rsidR="002220F4" w:rsidRPr="008C2A5C" w:rsidRDefault="002220F4" w:rsidP="002220F4">
      <w:pPr>
        <w:shd w:val="clear" w:color="auto" w:fill="FFFFFF"/>
        <w:spacing w:before="100" w:beforeAutospacing="1" w:after="100" w:afterAutospacing="1" w:line="293" w:lineRule="atLeast"/>
        <w:ind w:firstLine="300"/>
        <w:jc w:val="both"/>
        <w:rPr>
          <w:rFonts w:ascii="Arial" w:eastAsia="Times New Roman" w:hAnsi="Arial" w:cs="Arial"/>
          <w:b/>
          <w:bCs/>
          <w:color w:val="414142"/>
          <w:sz w:val="20"/>
          <w:szCs w:val="20"/>
          <w:lang w:eastAsia="lv-LV"/>
        </w:rPr>
      </w:pPr>
      <w:r w:rsidRPr="008C2A5C">
        <w:rPr>
          <w:rFonts w:ascii="Arial" w:eastAsia="Times New Roman" w:hAnsi="Arial" w:cs="Arial"/>
          <w:b/>
          <w:bCs/>
          <w:color w:val="414142"/>
          <w:sz w:val="20"/>
          <w:szCs w:val="20"/>
          <w:lang w:eastAsia="lv-LV"/>
        </w:rPr>
        <w:t>8. PERSONAS DATU APSTRĀDE</w:t>
      </w:r>
    </w:p>
    <w:p w14:paraId="381EA3AE" w14:textId="77777777" w:rsidR="002220F4" w:rsidRPr="00C420B5" w:rsidRDefault="002220F4" w:rsidP="002220F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 xml:space="preserve">8.1. </w:t>
      </w:r>
      <w:r w:rsidRPr="00C420B5">
        <w:rPr>
          <w:rFonts w:ascii="Arial" w:eastAsia="Times New Roman" w:hAnsi="Arial" w:cs="Arial"/>
          <w:color w:val="414142"/>
          <w:sz w:val="20"/>
          <w:szCs w:val="20"/>
          <w:lang w:eastAsia="lv-LV"/>
        </w:rPr>
        <w:t>Līguma izpildes laikā iegūto personas datu pārzi</w:t>
      </w:r>
      <w:r>
        <w:rPr>
          <w:rFonts w:ascii="Arial" w:eastAsia="Times New Roman" w:hAnsi="Arial" w:cs="Arial"/>
          <w:color w:val="414142"/>
          <w:sz w:val="20"/>
          <w:szCs w:val="20"/>
          <w:lang w:eastAsia="lv-LV"/>
        </w:rPr>
        <w:t>nis</w:t>
      </w:r>
      <w:r w:rsidRPr="00C420B5">
        <w:rPr>
          <w:rFonts w:ascii="Arial" w:eastAsia="Times New Roman" w:hAnsi="Arial" w:cs="Arial"/>
          <w:color w:val="414142"/>
          <w:sz w:val="20"/>
          <w:szCs w:val="20"/>
          <w:lang w:eastAsia="lv-LV"/>
        </w:rPr>
        <w:t xml:space="preserve"> ir </w:t>
      </w:r>
      <w:r>
        <w:rPr>
          <w:rFonts w:ascii="Arial" w:eastAsia="Times New Roman" w:hAnsi="Arial" w:cs="Arial"/>
          <w:color w:val="414142"/>
          <w:sz w:val="20"/>
          <w:szCs w:val="20"/>
          <w:lang w:eastAsia="lv-LV"/>
        </w:rPr>
        <w:t xml:space="preserve">Liepājas </w:t>
      </w:r>
      <w:proofErr w:type="spellStart"/>
      <w:r>
        <w:rPr>
          <w:rFonts w:ascii="Arial" w:eastAsia="Times New Roman" w:hAnsi="Arial" w:cs="Arial"/>
          <w:color w:val="414142"/>
          <w:sz w:val="20"/>
          <w:szCs w:val="20"/>
          <w:lang w:eastAsia="lv-LV"/>
        </w:rPr>
        <w:t>valstspilsētas</w:t>
      </w:r>
      <w:proofErr w:type="spellEnd"/>
      <w:r>
        <w:rPr>
          <w:rFonts w:ascii="Arial" w:eastAsia="Times New Roman" w:hAnsi="Arial" w:cs="Arial"/>
          <w:color w:val="414142"/>
          <w:sz w:val="20"/>
          <w:szCs w:val="20"/>
          <w:lang w:eastAsia="lv-LV"/>
        </w:rPr>
        <w:t xml:space="preserve"> pašvaldība, kuras vārdā rīkojas tās iestāde “</w:t>
      </w:r>
      <w:r w:rsidRPr="00C420B5">
        <w:rPr>
          <w:rFonts w:ascii="Arial" w:eastAsia="Times New Roman" w:hAnsi="Arial" w:cs="Arial"/>
          <w:color w:val="414142"/>
          <w:sz w:val="20"/>
          <w:szCs w:val="20"/>
          <w:lang w:eastAsia="lv-LV"/>
        </w:rPr>
        <w:t>Liepājas  Izglītības pārvalde</w:t>
      </w:r>
      <w:r>
        <w:rPr>
          <w:rFonts w:ascii="Arial" w:eastAsia="Times New Roman" w:hAnsi="Arial" w:cs="Arial"/>
          <w:color w:val="414142"/>
          <w:sz w:val="20"/>
          <w:szCs w:val="20"/>
          <w:lang w:eastAsia="lv-LV"/>
        </w:rPr>
        <w:t>”, kas</w:t>
      </w:r>
      <w:r w:rsidRPr="00C420B5">
        <w:rPr>
          <w:rFonts w:ascii="Arial" w:eastAsia="Times New Roman" w:hAnsi="Arial" w:cs="Arial"/>
          <w:color w:val="414142"/>
          <w:sz w:val="20"/>
          <w:szCs w:val="20"/>
          <w:lang w:eastAsia="lv-LV"/>
        </w:rPr>
        <w:t xml:space="preserve"> apstrādā</w:t>
      </w:r>
      <w:r>
        <w:rPr>
          <w:rFonts w:ascii="Arial" w:eastAsia="Times New Roman" w:hAnsi="Arial" w:cs="Arial"/>
          <w:color w:val="414142"/>
          <w:sz w:val="20"/>
          <w:szCs w:val="20"/>
          <w:lang w:eastAsia="lv-LV"/>
        </w:rPr>
        <w:t xml:space="preserve"> personas datus</w:t>
      </w:r>
      <w:r w:rsidRPr="00C420B5">
        <w:rPr>
          <w:rFonts w:ascii="Arial" w:eastAsia="Times New Roman" w:hAnsi="Arial" w:cs="Arial"/>
          <w:color w:val="414142"/>
          <w:sz w:val="20"/>
          <w:szCs w:val="20"/>
          <w:lang w:eastAsia="lv-LV"/>
        </w:rPr>
        <w:t xml:space="preserve"> ar mērķi izpildīt vienošanās nosacījumus, lai piešķir</w:t>
      </w:r>
      <w:r>
        <w:rPr>
          <w:rFonts w:ascii="Arial" w:eastAsia="Times New Roman" w:hAnsi="Arial" w:cs="Arial"/>
          <w:color w:val="414142"/>
          <w:sz w:val="20"/>
          <w:szCs w:val="20"/>
          <w:lang w:eastAsia="lv-LV"/>
        </w:rPr>
        <w:t xml:space="preserve">tu </w:t>
      </w:r>
      <w:r w:rsidRPr="00C420B5">
        <w:rPr>
          <w:rFonts w:ascii="Arial" w:eastAsia="Times New Roman" w:hAnsi="Arial" w:cs="Arial"/>
          <w:color w:val="414142"/>
          <w:sz w:val="20"/>
          <w:szCs w:val="20"/>
          <w:lang w:eastAsia="lv-LV"/>
        </w:rPr>
        <w:t>līdzfinansēju</w:t>
      </w:r>
      <w:r>
        <w:rPr>
          <w:rFonts w:ascii="Arial" w:eastAsia="Times New Roman" w:hAnsi="Arial" w:cs="Arial"/>
          <w:color w:val="414142"/>
          <w:sz w:val="20"/>
          <w:szCs w:val="20"/>
          <w:lang w:eastAsia="lv-LV"/>
        </w:rPr>
        <w:t>mu</w:t>
      </w:r>
      <w:r w:rsidRPr="00C420B5">
        <w:rPr>
          <w:rFonts w:ascii="Arial" w:eastAsia="Times New Roman" w:hAnsi="Arial" w:cs="Arial"/>
          <w:color w:val="414142"/>
          <w:sz w:val="20"/>
          <w:szCs w:val="20"/>
          <w:lang w:eastAsia="lv-LV"/>
        </w:rPr>
        <w:t xml:space="preserve"> privātajam bērnu uzraudzības pakalpojuma sniedzējam.</w:t>
      </w:r>
    </w:p>
    <w:p w14:paraId="0A7A24CE" w14:textId="77777777" w:rsidR="002220F4" w:rsidRPr="00C420B5" w:rsidRDefault="002220F4" w:rsidP="002220F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w:t>
      </w:r>
      <w:r w:rsidRPr="00C420B5">
        <w:rPr>
          <w:rFonts w:ascii="Arial" w:eastAsia="Times New Roman" w:hAnsi="Arial" w:cs="Arial"/>
          <w:color w:val="414142"/>
          <w:sz w:val="20"/>
          <w:szCs w:val="20"/>
          <w:lang w:eastAsia="lv-LV"/>
        </w:rPr>
        <w:t>.2.</w:t>
      </w:r>
      <w:r w:rsidRPr="00C420B5">
        <w:rPr>
          <w:rFonts w:ascii="Arial" w:eastAsia="Times New Roman" w:hAnsi="Arial" w:cs="Arial"/>
          <w:color w:val="414142"/>
          <w:sz w:val="20"/>
          <w:szCs w:val="20"/>
          <w:lang w:eastAsia="lv-LV"/>
        </w:rPr>
        <w:tab/>
        <w:t>Tiesiskais pamats personas datu apstrādei ir līgumisko attiecību nodibināšana un izpilde saskaņā ar Vispārīgās datu aizsardzības regulas 6.panta 1.punkta b)apakšpunktu, 9.panta 2.punkta b)apakšpunktu.</w:t>
      </w:r>
    </w:p>
    <w:p w14:paraId="0AE2971B" w14:textId="77777777" w:rsidR="002220F4" w:rsidRPr="00C420B5" w:rsidRDefault="002220F4" w:rsidP="002220F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w:t>
      </w:r>
      <w:r w:rsidRPr="00C420B5">
        <w:rPr>
          <w:rFonts w:ascii="Arial" w:eastAsia="Times New Roman" w:hAnsi="Arial" w:cs="Arial"/>
          <w:color w:val="414142"/>
          <w:sz w:val="20"/>
          <w:szCs w:val="20"/>
          <w:lang w:eastAsia="lv-LV"/>
        </w:rPr>
        <w:t>.3.</w:t>
      </w:r>
      <w:r w:rsidRPr="00C420B5">
        <w:rPr>
          <w:rFonts w:ascii="Arial" w:eastAsia="Times New Roman" w:hAnsi="Arial" w:cs="Arial"/>
          <w:color w:val="414142"/>
          <w:sz w:val="20"/>
          <w:szCs w:val="20"/>
          <w:lang w:eastAsia="lv-LV"/>
        </w:rPr>
        <w:tab/>
        <w:t>Personas datu iespējamie saņēmēji ir Liepājas Izglītības pārvalde</w:t>
      </w:r>
      <w:r>
        <w:rPr>
          <w:rFonts w:ascii="Arial" w:eastAsia="Times New Roman" w:hAnsi="Arial" w:cs="Arial"/>
          <w:color w:val="414142"/>
          <w:sz w:val="20"/>
          <w:szCs w:val="20"/>
          <w:lang w:eastAsia="lv-LV"/>
        </w:rPr>
        <w:t>s</w:t>
      </w:r>
      <w:r w:rsidRPr="00C420B5">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atbildīgie darbinieki</w:t>
      </w:r>
      <w:r w:rsidRPr="00C420B5">
        <w:rPr>
          <w:rFonts w:ascii="Arial" w:eastAsia="Times New Roman" w:hAnsi="Arial" w:cs="Arial"/>
          <w:color w:val="414142"/>
          <w:sz w:val="20"/>
          <w:szCs w:val="20"/>
          <w:lang w:eastAsia="lv-LV"/>
        </w:rPr>
        <w:t xml:space="preserve"> atbilstoši kompetencei (līguma sagatavošana</w:t>
      </w:r>
      <w:r>
        <w:rPr>
          <w:rFonts w:ascii="Arial" w:eastAsia="Times New Roman" w:hAnsi="Arial" w:cs="Arial"/>
          <w:color w:val="414142"/>
          <w:sz w:val="20"/>
          <w:szCs w:val="20"/>
          <w:lang w:eastAsia="lv-LV"/>
        </w:rPr>
        <w:t xml:space="preserve">, </w:t>
      </w:r>
      <w:r w:rsidRPr="00C420B5">
        <w:rPr>
          <w:rFonts w:ascii="Arial" w:eastAsia="Times New Roman" w:hAnsi="Arial" w:cs="Arial"/>
          <w:color w:val="414142"/>
          <w:sz w:val="20"/>
          <w:szCs w:val="20"/>
          <w:lang w:eastAsia="lv-LV"/>
        </w:rPr>
        <w:t>noslēgšana</w:t>
      </w:r>
      <w:r>
        <w:rPr>
          <w:rFonts w:ascii="Arial" w:eastAsia="Times New Roman" w:hAnsi="Arial" w:cs="Arial"/>
          <w:color w:val="414142"/>
          <w:sz w:val="20"/>
          <w:szCs w:val="20"/>
          <w:lang w:eastAsia="lv-LV"/>
        </w:rPr>
        <w:t>, ārsta zīmju glabāšana, atbilstības līdzfinansējuma saņemšanai pārbaudes veikšana</w:t>
      </w:r>
      <w:r w:rsidRPr="00C420B5">
        <w:rPr>
          <w:rFonts w:ascii="Arial" w:eastAsia="Times New Roman" w:hAnsi="Arial" w:cs="Arial"/>
          <w:color w:val="414142"/>
          <w:sz w:val="20"/>
          <w:szCs w:val="20"/>
          <w:lang w:eastAsia="lv-LV"/>
        </w:rPr>
        <w:t>)</w:t>
      </w:r>
      <w:r>
        <w:rPr>
          <w:rFonts w:ascii="Arial" w:eastAsia="Times New Roman" w:hAnsi="Arial" w:cs="Arial"/>
          <w:color w:val="414142"/>
          <w:sz w:val="20"/>
          <w:szCs w:val="20"/>
          <w:lang w:eastAsia="lv-LV"/>
        </w:rPr>
        <w:t xml:space="preserve">, </w:t>
      </w:r>
      <w:r w:rsidRPr="00C420B5">
        <w:rPr>
          <w:rFonts w:ascii="Arial" w:eastAsia="Times New Roman" w:hAnsi="Arial" w:cs="Arial"/>
          <w:color w:val="414142"/>
          <w:sz w:val="20"/>
          <w:szCs w:val="20"/>
          <w:lang w:eastAsia="lv-LV"/>
        </w:rPr>
        <w:t>Finanšu un grāmatvedības nodaļa</w:t>
      </w:r>
      <w:r>
        <w:rPr>
          <w:rFonts w:ascii="Arial" w:eastAsia="Times New Roman" w:hAnsi="Arial" w:cs="Arial"/>
          <w:color w:val="414142"/>
          <w:sz w:val="20"/>
          <w:szCs w:val="20"/>
          <w:lang w:eastAsia="lv-LV"/>
        </w:rPr>
        <w:t xml:space="preserve"> (maksājuma veikšana), Pārziņa nolītie apstrādātāji (informācijas sistēmu uzturētāji), Kredītiestāde (līdzmaksājuma izmaksai).</w:t>
      </w:r>
    </w:p>
    <w:p w14:paraId="31CB96FD" w14:textId="77777777" w:rsidR="002220F4" w:rsidRPr="00C420B5" w:rsidRDefault="002220F4" w:rsidP="002220F4">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w:t>
      </w:r>
      <w:r w:rsidRPr="00C420B5">
        <w:rPr>
          <w:rFonts w:ascii="Arial" w:eastAsia="Times New Roman" w:hAnsi="Arial" w:cs="Arial"/>
          <w:color w:val="414142"/>
          <w:sz w:val="20"/>
          <w:szCs w:val="20"/>
          <w:lang w:eastAsia="lv-LV"/>
        </w:rPr>
        <w:t>.4.</w:t>
      </w:r>
      <w:r w:rsidRPr="00C420B5">
        <w:rPr>
          <w:rFonts w:ascii="Arial" w:eastAsia="Times New Roman" w:hAnsi="Arial" w:cs="Arial"/>
          <w:color w:val="414142"/>
          <w:sz w:val="20"/>
          <w:szCs w:val="20"/>
          <w:lang w:eastAsia="lv-LV"/>
        </w:rPr>
        <w:tab/>
      </w:r>
      <w:r>
        <w:rPr>
          <w:rFonts w:ascii="Arial" w:eastAsia="Times New Roman" w:hAnsi="Arial" w:cs="Arial"/>
          <w:color w:val="414142"/>
          <w:sz w:val="20"/>
          <w:szCs w:val="20"/>
          <w:lang w:eastAsia="lv-LV"/>
        </w:rPr>
        <w:t>Pārzinis</w:t>
      </w:r>
      <w:r w:rsidRPr="00C420B5">
        <w:rPr>
          <w:rFonts w:ascii="Arial" w:eastAsia="Times New Roman" w:hAnsi="Arial" w:cs="Arial"/>
          <w:color w:val="414142"/>
          <w:sz w:val="20"/>
          <w:szCs w:val="20"/>
          <w:lang w:eastAsia="lv-LV"/>
        </w:rPr>
        <w:t xml:space="preserve"> personas datus (līgumu, līdzfinansēju</w:t>
      </w:r>
      <w:r>
        <w:rPr>
          <w:rFonts w:ascii="Arial" w:eastAsia="Times New Roman" w:hAnsi="Arial" w:cs="Arial"/>
          <w:color w:val="414142"/>
          <w:sz w:val="20"/>
          <w:szCs w:val="20"/>
          <w:lang w:eastAsia="lv-LV"/>
        </w:rPr>
        <w:t xml:space="preserve">ma piešķiršanas </w:t>
      </w:r>
      <w:r w:rsidRPr="00C420B5">
        <w:rPr>
          <w:rFonts w:ascii="Arial" w:eastAsia="Times New Roman" w:hAnsi="Arial" w:cs="Arial"/>
          <w:color w:val="414142"/>
          <w:sz w:val="20"/>
          <w:szCs w:val="20"/>
          <w:lang w:eastAsia="lv-LV"/>
        </w:rPr>
        <w:t xml:space="preserve">laikā </w:t>
      </w:r>
      <w:r>
        <w:rPr>
          <w:rFonts w:ascii="Arial" w:eastAsia="Times New Roman" w:hAnsi="Arial" w:cs="Arial"/>
          <w:color w:val="414142"/>
          <w:sz w:val="20"/>
          <w:szCs w:val="20"/>
          <w:lang w:eastAsia="lv-LV"/>
        </w:rPr>
        <w:t>iegūtos</w:t>
      </w:r>
      <w:r w:rsidRPr="00C420B5">
        <w:rPr>
          <w:rFonts w:ascii="Arial" w:eastAsia="Times New Roman" w:hAnsi="Arial" w:cs="Arial"/>
          <w:color w:val="414142"/>
          <w:sz w:val="20"/>
          <w:szCs w:val="20"/>
          <w:lang w:eastAsia="lv-LV"/>
        </w:rPr>
        <w:t xml:space="preserve"> dokumentus</w:t>
      </w:r>
      <w:r>
        <w:rPr>
          <w:rFonts w:ascii="Arial" w:eastAsia="Times New Roman" w:hAnsi="Arial" w:cs="Arial"/>
          <w:color w:val="414142"/>
          <w:sz w:val="20"/>
          <w:szCs w:val="20"/>
          <w:lang w:eastAsia="lv-LV"/>
        </w:rPr>
        <w:t>, maksājuma dokumentus</w:t>
      </w:r>
      <w:r w:rsidRPr="00C420B5">
        <w:rPr>
          <w:rFonts w:ascii="Arial" w:eastAsia="Times New Roman" w:hAnsi="Arial" w:cs="Arial"/>
          <w:color w:val="414142"/>
          <w:sz w:val="20"/>
          <w:szCs w:val="20"/>
          <w:lang w:eastAsia="lv-LV"/>
        </w:rPr>
        <w:t xml:space="preserve">) glabās </w:t>
      </w:r>
      <w:r>
        <w:rPr>
          <w:rFonts w:ascii="Arial" w:eastAsia="Times New Roman" w:hAnsi="Arial" w:cs="Arial"/>
          <w:color w:val="414142"/>
          <w:sz w:val="20"/>
          <w:szCs w:val="20"/>
          <w:lang w:eastAsia="lv-LV"/>
        </w:rPr>
        <w:t>5</w:t>
      </w:r>
      <w:r w:rsidRPr="00C420B5">
        <w:rPr>
          <w:rFonts w:ascii="Arial" w:eastAsia="Times New Roman" w:hAnsi="Arial" w:cs="Arial"/>
          <w:color w:val="414142"/>
          <w:sz w:val="20"/>
          <w:szCs w:val="20"/>
          <w:lang w:eastAsia="lv-LV"/>
        </w:rPr>
        <w:t xml:space="preserve"> gadus.</w:t>
      </w:r>
    </w:p>
    <w:p w14:paraId="6A6C39E1" w14:textId="77777777" w:rsidR="002220F4" w:rsidRPr="00C420B5" w:rsidRDefault="002220F4" w:rsidP="002220F4">
      <w:pPr>
        <w:shd w:val="clear" w:color="auto" w:fill="FFFFFF"/>
        <w:spacing w:after="0" w:line="293" w:lineRule="atLeast"/>
        <w:ind w:firstLine="300"/>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w:t>
      </w:r>
      <w:r w:rsidRPr="00C420B5">
        <w:rPr>
          <w:rFonts w:ascii="Arial" w:eastAsia="Times New Roman" w:hAnsi="Arial" w:cs="Arial"/>
          <w:color w:val="414142"/>
          <w:sz w:val="20"/>
          <w:szCs w:val="20"/>
          <w:lang w:eastAsia="lv-LV"/>
        </w:rPr>
        <w:t>.5.</w:t>
      </w:r>
      <w:r w:rsidRPr="00C420B5">
        <w:rPr>
          <w:rFonts w:ascii="Arial" w:eastAsia="Times New Roman" w:hAnsi="Arial" w:cs="Arial"/>
          <w:color w:val="414142"/>
          <w:sz w:val="20"/>
          <w:szCs w:val="20"/>
          <w:lang w:eastAsia="lv-LV"/>
        </w:rPr>
        <w:tab/>
      </w:r>
      <w:r>
        <w:rPr>
          <w:rFonts w:ascii="Arial" w:eastAsia="Times New Roman" w:hAnsi="Arial" w:cs="Arial"/>
          <w:color w:val="414142"/>
          <w:sz w:val="20"/>
          <w:szCs w:val="20"/>
          <w:lang w:eastAsia="lv-LV"/>
        </w:rPr>
        <w:t xml:space="preserve">Auklei un vacākiem kā datu subjektiem </w:t>
      </w:r>
      <w:r w:rsidRPr="00C420B5">
        <w:rPr>
          <w:rFonts w:ascii="Arial" w:eastAsia="Times New Roman" w:hAnsi="Arial" w:cs="Arial"/>
          <w:color w:val="414142"/>
          <w:sz w:val="20"/>
          <w:szCs w:val="20"/>
          <w:lang w:eastAsia="lv-LV"/>
        </w:rPr>
        <w:t>ir tiesības:</w:t>
      </w:r>
    </w:p>
    <w:p w14:paraId="54F56200" w14:textId="77777777" w:rsidR="002220F4" w:rsidRPr="00C420B5" w:rsidRDefault="002220F4" w:rsidP="002220F4">
      <w:pPr>
        <w:shd w:val="clear" w:color="auto" w:fill="FFFFFF"/>
        <w:spacing w:after="0" w:line="293" w:lineRule="atLeast"/>
        <w:ind w:firstLine="300"/>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w:t>
      </w:r>
      <w:r w:rsidRPr="00C420B5">
        <w:rPr>
          <w:rFonts w:ascii="Arial" w:eastAsia="Times New Roman" w:hAnsi="Arial" w:cs="Arial"/>
          <w:color w:val="414142"/>
          <w:sz w:val="20"/>
          <w:szCs w:val="20"/>
          <w:lang w:eastAsia="lv-LV"/>
        </w:rPr>
        <w:t>.5.1.</w:t>
      </w:r>
      <w:r>
        <w:rPr>
          <w:rFonts w:ascii="Arial" w:eastAsia="Times New Roman" w:hAnsi="Arial" w:cs="Arial"/>
          <w:color w:val="414142"/>
          <w:sz w:val="20"/>
          <w:szCs w:val="20"/>
          <w:lang w:eastAsia="lv-LV"/>
        </w:rPr>
        <w:t xml:space="preserve"> </w:t>
      </w:r>
      <w:r w:rsidRPr="00C420B5">
        <w:rPr>
          <w:rFonts w:ascii="Arial" w:eastAsia="Times New Roman" w:hAnsi="Arial" w:cs="Arial"/>
          <w:color w:val="414142"/>
          <w:sz w:val="20"/>
          <w:szCs w:val="20"/>
          <w:lang w:eastAsia="lv-LV"/>
        </w:rPr>
        <w:t xml:space="preserve">pieprasīt </w:t>
      </w:r>
      <w:r>
        <w:rPr>
          <w:rFonts w:ascii="Arial" w:eastAsia="Times New Roman" w:hAnsi="Arial" w:cs="Arial"/>
          <w:color w:val="414142"/>
          <w:sz w:val="20"/>
          <w:szCs w:val="20"/>
          <w:lang w:eastAsia="lv-LV"/>
        </w:rPr>
        <w:t>pārzinim</w:t>
      </w:r>
      <w:r w:rsidRPr="00C420B5">
        <w:rPr>
          <w:rFonts w:ascii="Arial" w:eastAsia="Times New Roman" w:hAnsi="Arial" w:cs="Arial"/>
          <w:color w:val="414142"/>
          <w:sz w:val="20"/>
          <w:szCs w:val="20"/>
          <w:lang w:eastAsia="lv-LV"/>
        </w:rPr>
        <w:t xml:space="preserve"> piekļūt saviem, kā datu subjekta un </w:t>
      </w:r>
      <w:r>
        <w:rPr>
          <w:rFonts w:ascii="Arial" w:eastAsia="Times New Roman" w:hAnsi="Arial" w:cs="Arial"/>
          <w:color w:val="414142"/>
          <w:sz w:val="20"/>
          <w:szCs w:val="20"/>
          <w:lang w:eastAsia="lv-LV"/>
        </w:rPr>
        <w:t>v</w:t>
      </w:r>
      <w:r w:rsidRPr="00C420B5">
        <w:rPr>
          <w:rFonts w:ascii="Arial" w:eastAsia="Times New Roman" w:hAnsi="Arial" w:cs="Arial"/>
          <w:color w:val="414142"/>
          <w:sz w:val="20"/>
          <w:szCs w:val="20"/>
          <w:lang w:eastAsia="lv-LV"/>
        </w:rPr>
        <w:t xml:space="preserve">ecākiem sava bērna (kā likumiskajiem pārstāvjiem) apstrādātajiem personas datiem, lūgt neprecīzo personas datu labošanu, iesniedzot rakstisku pamatojumu lūgumam; </w:t>
      </w:r>
    </w:p>
    <w:p w14:paraId="64BD7E1A" w14:textId="77777777" w:rsidR="002220F4" w:rsidRPr="00C420B5" w:rsidRDefault="002220F4" w:rsidP="002220F4">
      <w:pPr>
        <w:shd w:val="clear" w:color="auto" w:fill="FFFFFF"/>
        <w:spacing w:after="0" w:line="293" w:lineRule="atLeast"/>
        <w:ind w:firstLine="300"/>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w:t>
      </w:r>
      <w:r w:rsidRPr="00C420B5">
        <w:rPr>
          <w:rFonts w:ascii="Arial" w:eastAsia="Times New Roman" w:hAnsi="Arial" w:cs="Arial"/>
          <w:color w:val="414142"/>
          <w:sz w:val="20"/>
          <w:szCs w:val="20"/>
          <w:lang w:eastAsia="lv-LV"/>
        </w:rPr>
        <w:t>.5.2.</w:t>
      </w:r>
      <w:r>
        <w:rPr>
          <w:rFonts w:ascii="Arial" w:eastAsia="Times New Roman" w:hAnsi="Arial" w:cs="Arial"/>
          <w:color w:val="414142"/>
          <w:sz w:val="20"/>
          <w:szCs w:val="20"/>
          <w:lang w:eastAsia="lv-LV"/>
        </w:rPr>
        <w:t xml:space="preserve"> </w:t>
      </w:r>
      <w:r w:rsidRPr="00C420B5">
        <w:rPr>
          <w:rFonts w:ascii="Arial" w:eastAsia="Times New Roman" w:hAnsi="Arial" w:cs="Arial"/>
          <w:color w:val="414142"/>
          <w:sz w:val="20"/>
          <w:szCs w:val="20"/>
          <w:lang w:eastAsia="lv-LV"/>
        </w:rPr>
        <w:t>iesniegt sūdzību par nelikumīgu personas datu apstrādi Datu valsts inspekcijā</w:t>
      </w:r>
      <w:r>
        <w:rPr>
          <w:rFonts w:ascii="Arial" w:eastAsia="Times New Roman" w:hAnsi="Arial" w:cs="Arial"/>
          <w:color w:val="414142"/>
          <w:sz w:val="20"/>
          <w:szCs w:val="20"/>
          <w:lang w:eastAsia="lv-LV"/>
        </w:rPr>
        <w:t>;</w:t>
      </w:r>
    </w:p>
    <w:p w14:paraId="5B7FCC3A" w14:textId="0AC0878A" w:rsidR="002220F4" w:rsidRDefault="002220F4" w:rsidP="002220F4">
      <w:pPr>
        <w:shd w:val="clear" w:color="auto" w:fill="FFFFFF"/>
        <w:spacing w:after="0" w:line="293" w:lineRule="atLeast"/>
        <w:ind w:firstLine="300"/>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w:t>
      </w:r>
      <w:r w:rsidRPr="00C420B5">
        <w:rPr>
          <w:rFonts w:ascii="Arial" w:eastAsia="Times New Roman" w:hAnsi="Arial" w:cs="Arial"/>
          <w:color w:val="414142"/>
          <w:sz w:val="20"/>
          <w:szCs w:val="20"/>
          <w:lang w:eastAsia="lv-LV"/>
        </w:rPr>
        <w:t>.5.3.</w:t>
      </w:r>
      <w:r>
        <w:rPr>
          <w:rFonts w:ascii="Arial" w:eastAsia="Times New Roman" w:hAnsi="Arial" w:cs="Arial"/>
          <w:color w:val="414142"/>
          <w:sz w:val="20"/>
          <w:szCs w:val="20"/>
          <w:lang w:eastAsia="lv-LV"/>
        </w:rPr>
        <w:t xml:space="preserve"> </w:t>
      </w:r>
      <w:r w:rsidRPr="00C420B5">
        <w:rPr>
          <w:rFonts w:ascii="Arial" w:eastAsia="Times New Roman" w:hAnsi="Arial" w:cs="Arial"/>
          <w:color w:val="414142"/>
          <w:sz w:val="20"/>
          <w:szCs w:val="20"/>
          <w:lang w:eastAsia="lv-LV"/>
        </w:rPr>
        <w:t xml:space="preserve">vērsties pie </w:t>
      </w:r>
      <w:r>
        <w:rPr>
          <w:rFonts w:ascii="Arial" w:eastAsia="Times New Roman" w:hAnsi="Arial" w:cs="Arial"/>
          <w:color w:val="414142"/>
          <w:sz w:val="20"/>
          <w:szCs w:val="20"/>
          <w:lang w:eastAsia="lv-LV"/>
        </w:rPr>
        <w:t>pārziņa</w:t>
      </w:r>
      <w:r w:rsidRPr="00C420B5">
        <w:rPr>
          <w:rFonts w:ascii="Arial" w:eastAsia="Times New Roman" w:hAnsi="Arial" w:cs="Arial"/>
          <w:color w:val="414142"/>
          <w:sz w:val="20"/>
          <w:szCs w:val="20"/>
          <w:lang w:eastAsia="lv-LV"/>
        </w:rPr>
        <w:t xml:space="preserve"> personas datu aizsardzības speciālista par personas datu apstrādes jautājumiem – tālrunis 63422331, adrese Rožu iela 6, Liepāja, elektroniskā pasta adrese </w:t>
      </w:r>
      <w:hyperlink r:id="rId7" w:history="1">
        <w:r w:rsidRPr="002220F4">
          <w:rPr>
            <w:rStyle w:val="Hipersaite"/>
            <w:rFonts w:ascii="Arial" w:eastAsia="Times New Roman" w:hAnsi="Arial" w:cs="Arial"/>
            <w:color w:val="auto"/>
            <w:sz w:val="20"/>
            <w:szCs w:val="20"/>
            <w:u w:val="none"/>
            <w:lang w:eastAsia="lv-LV"/>
          </w:rPr>
          <w:t>das@liepaja.lv</w:t>
        </w:r>
      </w:hyperlink>
      <w:r w:rsidRPr="002220F4">
        <w:rPr>
          <w:rFonts w:ascii="Arial" w:eastAsia="Times New Roman" w:hAnsi="Arial" w:cs="Arial"/>
          <w:sz w:val="20"/>
          <w:szCs w:val="20"/>
          <w:lang w:eastAsia="lv-LV"/>
        </w:rPr>
        <w:t>.</w:t>
      </w:r>
    </w:p>
    <w:p w14:paraId="310E07F6" w14:textId="77777777" w:rsidR="002220F4" w:rsidRDefault="002220F4" w:rsidP="002220F4">
      <w:pPr>
        <w:shd w:val="clear" w:color="auto" w:fill="FFFFFF"/>
        <w:spacing w:after="0" w:line="293" w:lineRule="atLeast"/>
        <w:ind w:firstLine="300"/>
        <w:jc w:val="both"/>
        <w:rPr>
          <w:rFonts w:ascii="Arial" w:eastAsia="Times New Roman" w:hAnsi="Arial" w:cs="Arial"/>
          <w:b/>
          <w:bCs/>
          <w:color w:val="414142"/>
          <w:sz w:val="20"/>
          <w:szCs w:val="20"/>
          <w:lang w:eastAsia="lv-LV"/>
        </w:rPr>
      </w:pPr>
    </w:p>
    <w:p w14:paraId="30640FFD" w14:textId="741B2CD4" w:rsidR="009D6725" w:rsidRPr="002220F4" w:rsidRDefault="002220F4" w:rsidP="002220F4">
      <w:pPr>
        <w:shd w:val="clear" w:color="auto" w:fill="FFFFFF"/>
        <w:spacing w:after="0" w:line="293" w:lineRule="atLeast"/>
        <w:ind w:firstLine="300"/>
        <w:jc w:val="both"/>
        <w:rPr>
          <w:rFonts w:ascii="Arial" w:eastAsia="Times New Roman" w:hAnsi="Arial" w:cs="Arial"/>
          <w:color w:val="414142"/>
          <w:sz w:val="20"/>
          <w:szCs w:val="20"/>
          <w:lang w:eastAsia="lv-LV"/>
        </w:rPr>
      </w:pPr>
      <w:r>
        <w:rPr>
          <w:rFonts w:ascii="Arial" w:eastAsia="Times New Roman" w:hAnsi="Arial" w:cs="Arial"/>
          <w:b/>
          <w:bCs/>
          <w:color w:val="414142"/>
          <w:sz w:val="20"/>
          <w:szCs w:val="20"/>
          <w:lang w:eastAsia="lv-LV"/>
        </w:rPr>
        <w:t>9</w:t>
      </w:r>
      <w:r w:rsidR="009D6725" w:rsidRPr="009D6725">
        <w:rPr>
          <w:rFonts w:ascii="Arial" w:eastAsia="Times New Roman" w:hAnsi="Arial" w:cs="Arial"/>
          <w:b/>
          <w:bCs/>
          <w:color w:val="414142"/>
          <w:sz w:val="20"/>
          <w:szCs w:val="20"/>
          <w:lang w:eastAsia="lv-LV"/>
        </w:rPr>
        <w:t>. PUŠU JURIDISKĀS ADRESES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363"/>
        <w:gridCol w:w="1448"/>
        <w:gridCol w:w="251"/>
        <w:gridCol w:w="80"/>
        <w:gridCol w:w="2645"/>
        <w:gridCol w:w="116"/>
        <w:gridCol w:w="2645"/>
      </w:tblGrid>
      <w:tr w:rsidR="009D6725" w:rsidRPr="009D6725" w14:paraId="5CF0F8FB" w14:textId="77777777" w:rsidTr="009D6725">
        <w:tc>
          <w:tcPr>
            <w:tcW w:w="1650" w:type="pct"/>
            <w:gridSpan w:val="2"/>
            <w:tcBorders>
              <w:top w:val="nil"/>
              <w:left w:val="nil"/>
              <w:bottom w:val="nil"/>
              <w:right w:val="nil"/>
            </w:tcBorders>
            <w:shd w:val="clear" w:color="auto" w:fill="FFFFFF"/>
            <w:hideMark/>
          </w:tcPr>
          <w:p w14:paraId="09C63A93" w14:textId="77777777" w:rsidR="009D6725" w:rsidRPr="009D6725" w:rsidRDefault="009D6725" w:rsidP="000F11FC">
            <w:pPr>
              <w:spacing w:after="0" w:line="240" w:lineRule="auto"/>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PAŠVALDĪBA:</w:t>
            </w:r>
          </w:p>
        </w:tc>
        <w:tc>
          <w:tcPr>
            <w:tcW w:w="150" w:type="pct"/>
            <w:tcBorders>
              <w:top w:val="nil"/>
              <w:left w:val="nil"/>
              <w:bottom w:val="nil"/>
              <w:right w:val="nil"/>
            </w:tcBorders>
            <w:shd w:val="clear" w:color="auto" w:fill="FFFFFF"/>
            <w:hideMark/>
          </w:tcPr>
          <w:p w14:paraId="14C1CED4" w14:textId="77777777" w:rsidR="009D6725" w:rsidRPr="009D6725" w:rsidRDefault="009D6725" w:rsidP="000F11FC">
            <w:pPr>
              <w:spacing w:after="0" w:line="240" w:lineRule="auto"/>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1600" w:type="pct"/>
            <w:gridSpan w:val="2"/>
            <w:tcBorders>
              <w:top w:val="nil"/>
              <w:left w:val="nil"/>
              <w:bottom w:val="nil"/>
              <w:right w:val="nil"/>
            </w:tcBorders>
            <w:shd w:val="clear" w:color="auto" w:fill="FFFFFF"/>
            <w:hideMark/>
          </w:tcPr>
          <w:p w14:paraId="6A28620C" w14:textId="77777777" w:rsidR="009D6725" w:rsidRPr="009D6725" w:rsidRDefault="009D6725" w:rsidP="000F11FC">
            <w:pPr>
              <w:spacing w:before="100" w:beforeAutospacing="1" w:after="100" w:afterAutospacing="1" w:line="293" w:lineRule="atLeast"/>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AUKLE:</w:t>
            </w:r>
          </w:p>
        </w:tc>
        <w:tc>
          <w:tcPr>
            <w:tcW w:w="50" w:type="pct"/>
            <w:tcBorders>
              <w:top w:val="nil"/>
              <w:left w:val="nil"/>
              <w:bottom w:val="nil"/>
              <w:right w:val="nil"/>
            </w:tcBorders>
            <w:shd w:val="clear" w:color="auto" w:fill="FFFFFF"/>
            <w:hideMark/>
          </w:tcPr>
          <w:p w14:paraId="2A4647B1" w14:textId="77777777" w:rsidR="009D6725" w:rsidRPr="009D6725" w:rsidRDefault="009D6725" w:rsidP="000F11FC">
            <w:pPr>
              <w:spacing w:after="0" w:line="240" w:lineRule="auto"/>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1550" w:type="pct"/>
            <w:tcBorders>
              <w:top w:val="nil"/>
              <w:left w:val="nil"/>
              <w:bottom w:val="nil"/>
              <w:right w:val="nil"/>
            </w:tcBorders>
            <w:shd w:val="clear" w:color="auto" w:fill="FFFFFF"/>
            <w:hideMark/>
          </w:tcPr>
          <w:p w14:paraId="65392944" w14:textId="77777777" w:rsidR="009D6725" w:rsidRPr="009D6725" w:rsidRDefault="009D6725" w:rsidP="000F11FC">
            <w:pPr>
              <w:spacing w:before="100" w:beforeAutospacing="1" w:after="100" w:afterAutospacing="1" w:line="293" w:lineRule="atLeast"/>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VECĀKS:</w:t>
            </w:r>
          </w:p>
        </w:tc>
      </w:tr>
      <w:tr w:rsidR="009D6725" w:rsidRPr="009D6725" w14:paraId="4D6BD03A" w14:textId="77777777" w:rsidTr="009D6725">
        <w:trPr>
          <w:trHeight w:val="450"/>
        </w:trPr>
        <w:tc>
          <w:tcPr>
            <w:tcW w:w="1650" w:type="pct"/>
            <w:gridSpan w:val="2"/>
            <w:tcBorders>
              <w:top w:val="nil"/>
              <w:left w:val="nil"/>
              <w:bottom w:val="single" w:sz="6" w:space="0" w:color="414142"/>
              <w:right w:val="nil"/>
            </w:tcBorders>
            <w:shd w:val="clear" w:color="auto" w:fill="FFFFFF"/>
            <w:vAlign w:val="bottom"/>
            <w:hideMark/>
          </w:tcPr>
          <w:p w14:paraId="4D2C597D" w14:textId="77777777" w:rsidR="009D6725" w:rsidRDefault="009D6725" w:rsidP="000F11FC">
            <w:pPr>
              <w:spacing w:before="100" w:beforeAutospacing="1" w:after="100" w:afterAutospacing="1" w:line="293" w:lineRule="atLeast"/>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Liepājas  Izglītības pārvalde</w:t>
            </w:r>
            <w:r w:rsidR="000F11FC">
              <w:rPr>
                <w:rFonts w:ascii="Arial" w:eastAsia="Times New Roman" w:hAnsi="Arial" w:cs="Arial"/>
                <w:color w:val="414142"/>
                <w:sz w:val="20"/>
                <w:szCs w:val="20"/>
                <w:lang w:eastAsia="lv-LV"/>
              </w:rPr>
              <w:t xml:space="preserve"> </w:t>
            </w:r>
          </w:p>
          <w:p w14:paraId="62C14495" w14:textId="77777777" w:rsidR="000F11FC" w:rsidRDefault="000F11FC" w:rsidP="000F11FC">
            <w:pPr>
              <w:spacing w:before="100" w:beforeAutospacing="1" w:after="100" w:afterAutospacing="1" w:line="293" w:lineRule="atLeast"/>
              <w:jc w:val="both"/>
              <w:rPr>
                <w:rFonts w:ascii="Arial" w:eastAsia="Times New Roman" w:hAnsi="Arial" w:cs="Arial"/>
                <w:color w:val="414142"/>
                <w:sz w:val="20"/>
                <w:szCs w:val="20"/>
                <w:lang w:eastAsia="lv-LV"/>
              </w:rPr>
            </w:pPr>
          </w:p>
          <w:p w14:paraId="238CA8E0" w14:textId="3971EDEC" w:rsidR="000F11FC" w:rsidRPr="009D6725" w:rsidRDefault="000F11FC" w:rsidP="000F11FC">
            <w:pPr>
              <w:spacing w:before="100" w:beforeAutospacing="1" w:after="100" w:afterAutospacing="1" w:line="293" w:lineRule="atLeast"/>
              <w:jc w:val="both"/>
              <w:rPr>
                <w:rFonts w:ascii="Arial" w:eastAsia="Times New Roman" w:hAnsi="Arial" w:cs="Arial"/>
                <w:color w:val="414142"/>
                <w:sz w:val="20"/>
                <w:szCs w:val="20"/>
                <w:lang w:eastAsia="lv-LV"/>
              </w:rPr>
            </w:pPr>
          </w:p>
        </w:tc>
        <w:tc>
          <w:tcPr>
            <w:tcW w:w="150" w:type="pct"/>
            <w:tcBorders>
              <w:top w:val="nil"/>
              <w:left w:val="nil"/>
              <w:bottom w:val="nil"/>
              <w:right w:val="nil"/>
            </w:tcBorders>
            <w:shd w:val="clear" w:color="auto" w:fill="FFFFFF"/>
            <w:vAlign w:val="bottom"/>
            <w:hideMark/>
          </w:tcPr>
          <w:p w14:paraId="66375E3B" w14:textId="77777777" w:rsidR="009D6725" w:rsidRPr="009D6725" w:rsidRDefault="009D6725" w:rsidP="000F11FC">
            <w:pPr>
              <w:spacing w:after="0" w:line="240" w:lineRule="auto"/>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1600" w:type="pct"/>
            <w:gridSpan w:val="2"/>
            <w:tcBorders>
              <w:top w:val="nil"/>
              <w:left w:val="nil"/>
              <w:bottom w:val="single" w:sz="6" w:space="0" w:color="414142"/>
              <w:right w:val="nil"/>
            </w:tcBorders>
            <w:shd w:val="clear" w:color="auto" w:fill="FFFFFF"/>
            <w:vAlign w:val="bottom"/>
            <w:hideMark/>
          </w:tcPr>
          <w:p w14:paraId="7526FADC" w14:textId="77777777" w:rsidR="009D6725" w:rsidRPr="009D6725" w:rsidRDefault="009D6725" w:rsidP="000F11FC">
            <w:pPr>
              <w:spacing w:after="0" w:line="240" w:lineRule="auto"/>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vAlign w:val="bottom"/>
            <w:hideMark/>
          </w:tcPr>
          <w:p w14:paraId="7372CCAB" w14:textId="77777777" w:rsidR="009D6725" w:rsidRPr="009D6725" w:rsidRDefault="009D6725" w:rsidP="000F11FC">
            <w:pPr>
              <w:spacing w:after="0" w:line="240" w:lineRule="auto"/>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1550" w:type="pct"/>
            <w:tcBorders>
              <w:top w:val="nil"/>
              <w:left w:val="nil"/>
              <w:bottom w:val="single" w:sz="6" w:space="0" w:color="414142"/>
              <w:right w:val="nil"/>
            </w:tcBorders>
            <w:shd w:val="clear" w:color="auto" w:fill="FFFFFF"/>
            <w:vAlign w:val="bottom"/>
            <w:hideMark/>
          </w:tcPr>
          <w:p w14:paraId="1622BAFA" w14:textId="77777777" w:rsidR="009D6725" w:rsidRPr="009D6725" w:rsidRDefault="009D6725" w:rsidP="000F11FC">
            <w:pPr>
              <w:spacing w:after="0" w:line="240" w:lineRule="auto"/>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r>
      <w:tr w:rsidR="009D6725" w:rsidRPr="009D6725" w14:paraId="432BC130" w14:textId="77777777" w:rsidTr="009D6725">
        <w:tc>
          <w:tcPr>
            <w:tcW w:w="800" w:type="pct"/>
            <w:tcBorders>
              <w:top w:val="single" w:sz="6" w:space="0" w:color="414142"/>
              <w:left w:val="nil"/>
              <w:bottom w:val="nil"/>
              <w:right w:val="nil"/>
            </w:tcBorders>
            <w:shd w:val="clear" w:color="auto" w:fill="FFFFFF"/>
            <w:hideMark/>
          </w:tcPr>
          <w:p w14:paraId="3C201EE2" w14:textId="77777777" w:rsidR="009D6725" w:rsidRPr="009D6725" w:rsidRDefault="009D6725" w:rsidP="000F11FC">
            <w:pPr>
              <w:spacing w:after="0" w:line="240" w:lineRule="auto"/>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z.v.</w:t>
            </w:r>
          </w:p>
        </w:tc>
        <w:tc>
          <w:tcPr>
            <w:tcW w:w="800" w:type="pct"/>
            <w:tcBorders>
              <w:top w:val="single" w:sz="6" w:space="0" w:color="414142"/>
              <w:left w:val="nil"/>
              <w:bottom w:val="nil"/>
              <w:right w:val="nil"/>
            </w:tcBorders>
            <w:shd w:val="clear" w:color="auto" w:fill="FFFFFF"/>
            <w:hideMark/>
          </w:tcPr>
          <w:p w14:paraId="374D8777" w14:textId="77777777" w:rsidR="009D6725" w:rsidRPr="009D6725" w:rsidRDefault="009D6725" w:rsidP="000F11FC">
            <w:pPr>
              <w:spacing w:after="0" w:line="240" w:lineRule="auto"/>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200" w:type="pct"/>
            <w:gridSpan w:val="2"/>
            <w:tcBorders>
              <w:top w:val="nil"/>
              <w:left w:val="nil"/>
              <w:bottom w:val="nil"/>
              <w:right w:val="nil"/>
            </w:tcBorders>
            <w:shd w:val="clear" w:color="auto" w:fill="FFFFFF"/>
            <w:hideMark/>
          </w:tcPr>
          <w:p w14:paraId="34529F05" w14:textId="77777777" w:rsidR="009D6725" w:rsidRPr="009D6725" w:rsidRDefault="009D6725" w:rsidP="000F11FC">
            <w:pPr>
              <w:spacing w:after="0" w:line="240" w:lineRule="auto"/>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1550" w:type="pct"/>
            <w:tcBorders>
              <w:top w:val="single" w:sz="6" w:space="0" w:color="414142"/>
              <w:left w:val="nil"/>
              <w:bottom w:val="nil"/>
              <w:right w:val="nil"/>
            </w:tcBorders>
            <w:shd w:val="clear" w:color="auto" w:fill="FFFFFF"/>
            <w:hideMark/>
          </w:tcPr>
          <w:p w14:paraId="60AB64E5" w14:textId="77777777" w:rsidR="009D6725" w:rsidRPr="009D6725" w:rsidRDefault="009D6725" w:rsidP="000F11FC">
            <w:pPr>
              <w:spacing w:before="100" w:beforeAutospacing="1" w:after="100" w:afterAutospacing="1" w:line="293" w:lineRule="atLeast"/>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hideMark/>
          </w:tcPr>
          <w:p w14:paraId="2A4A9C7B" w14:textId="77777777" w:rsidR="009D6725" w:rsidRPr="009D6725" w:rsidRDefault="009D6725" w:rsidP="000F11FC">
            <w:pPr>
              <w:spacing w:after="0" w:line="240" w:lineRule="auto"/>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1550" w:type="pct"/>
            <w:tcBorders>
              <w:top w:val="single" w:sz="6" w:space="0" w:color="414142"/>
              <w:left w:val="nil"/>
              <w:bottom w:val="nil"/>
              <w:right w:val="nil"/>
            </w:tcBorders>
            <w:shd w:val="clear" w:color="auto" w:fill="FFFFFF"/>
            <w:hideMark/>
          </w:tcPr>
          <w:p w14:paraId="0B61D4C2" w14:textId="77777777" w:rsidR="009D6725" w:rsidRPr="009D6725" w:rsidRDefault="009D6725" w:rsidP="000F11FC">
            <w:pPr>
              <w:spacing w:before="100" w:beforeAutospacing="1" w:after="100" w:afterAutospacing="1" w:line="293" w:lineRule="atLeast"/>
              <w:jc w:val="both"/>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r>
    </w:tbl>
    <w:p w14:paraId="009F1673" w14:textId="77777777" w:rsidR="00D87EAF" w:rsidRDefault="00D87EAF" w:rsidP="000F11FC">
      <w:pPr>
        <w:jc w:val="both"/>
      </w:pPr>
    </w:p>
    <w:sectPr w:rsidR="00D87EAF" w:rsidSect="00957715">
      <w:pgSz w:w="11906" w:h="16838"/>
      <w:pgMar w:top="1440" w:right="1558"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25"/>
    <w:rsid w:val="000F11FC"/>
    <w:rsid w:val="001E5D45"/>
    <w:rsid w:val="002220F4"/>
    <w:rsid w:val="005D5814"/>
    <w:rsid w:val="00725464"/>
    <w:rsid w:val="0089504F"/>
    <w:rsid w:val="00922762"/>
    <w:rsid w:val="00957715"/>
    <w:rsid w:val="00957F42"/>
    <w:rsid w:val="009D6725"/>
    <w:rsid w:val="00BC7DD7"/>
    <w:rsid w:val="00D87EAF"/>
    <w:rsid w:val="00E12D10"/>
    <w:rsid w:val="00E44D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25A5"/>
  <w15:chartTrackingRefBased/>
  <w15:docId w15:val="{6772BAF3-0FF2-4BB7-8C26-F47CAFDA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220F4"/>
    <w:rPr>
      <w:color w:val="0563C1" w:themeColor="hyperlink"/>
      <w:u w:val="single"/>
    </w:rPr>
  </w:style>
  <w:style w:type="character" w:styleId="Neatrisintapieminana">
    <w:name w:val="Unresolved Mention"/>
    <w:basedOn w:val="Noklusjumarindkopasfonts"/>
    <w:uiPriority w:val="99"/>
    <w:semiHidden/>
    <w:unhideWhenUsed/>
    <w:rsid w:val="00222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6563">
      <w:bodyDiv w:val="1"/>
      <w:marLeft w:val="0"/>
      <w:marRight w:val="0"/>
      <w:marTop w:val="0"/>
      <w:marBottom w:val="0"/>
      <w:divBdr>
        <w:top w:val="none" w:sz="0" w:space="0" w:color="auto"/>
        <w:left w:val="none" w:sz="0" w:space="0" w:color="auto"/>
        <w:bottom w:val="none" w:sz="0" w:space="0" w:color="auto"/>
        <w:right w:val="none" w:sz="0" w:space="0" w:color="auto"/>
      </w:divBdr>
      <w:divsChild>
        <w:div w:id="42104184">
          <w:marLeft w:val="150"/>
          <w:marRight w:val="150"/>
          <w:marTop w:val="480"/>
          <w:marBottom w:val="0"/>
          <w:divBdr>
            <w:top w:val="none" w:sz="0" w:space="0" w:color="auto"/>
            <w:left w:val="none" w:sz="0" w:space="0" w:color="auto"/>
            <w:bottom w:val="none" w:sz="0" w:space="0" w:color="auto"/>
            <w:right w:val="none" w:sz="0" w:space="0" w:color="auto"/>
          </w:divBdr>
        </w:div>
        <w:div w:id="15949754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s@liepaj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82423" TargetMode="External"/><Relationship Id="rId5" Type="http://schemas.openxmlformats.org/officeDocument/2006/relationships/hyperlink" Target="https://likumi.lv/ta/id/282423" TargetMode="External"/><Relationship Id="rId4" Type="http://schemas.openxmlformats.org/officeDocument/2006/relationships/hyperlink" Target="https://likumi.lv/ta/id/282423"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4636</Words>
  <Characters>2643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Antonova</dc:creator>
  <cp:keywords/>
  <dc:description/>
  <cp:lastModifiedBy>Sintija Biša</cp:lastModifiedBy>
  <cp:revision>2</cp:revision>
  <dcterms:created xsi:type="dcterms:W3CDTF">2024-02-20T13:37:00Z</dcterms:created>
  <dcterms:modified xsi:type="dcterms:W3CDTF">2024-02-20T13:37:00Z</dcterms:modified>
</cp:coreProperties>
</file>