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E8BB" w14:textId="4E026EBC" w:rsidR="004256E1" w:rsidRDefault="00BA6C43" w:rsidP="00E34D22">
      <w:pPr>
        <w:autoSpaceDE w:val="0"/>
        <w:autoSpaceDN w:val="0"/>
        <w:adjustRightInd w:val="0"/>
        <w:ind w:left="-360"/>
        <w:jc w:val="center"/>
        <w:rPr>
          <w:rFonts w:ascii="Garamond" w:hAnsi="Garamond" w:cs="Arial"/>
          <w:b/>
          <w:lang w:bidi="my-MM"/>
        </w:rPr>
      </w:pPr>
      <w:r w:rsidRPr="002217C8">
        <w:rPr>
          <w:rFonts w:ascii="Arial" w:hAnsi="Arial" w:cs="Arial"/>
        </w:rPr>
        <w:object w:dxaOrig="9926" w:dyaOrig="912" w14:anchorId="758F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9.5pt" o:ole="">
            <v:imagedata r:id="rId7" o:title="" cropbottom="11444f" cropright="-162f" gain="79922f"/>
          </v:shape>
          <o:OLEObject Type="Embed" ProgID="CorelDraw.Graphic.9" ShapeID="_x0000_i1025" DrawAspect="Content" ObjectID="_1713004431" r:id="rId8"/>
        </w:object>
      </w:r>
    </w:p>
    <w:p w14:paraId="0970186D" w14:textId="77777777" w:rsidR="008D616E" w:rsidRPr="008D616E" w:rsidRDefault="008D616E" w:rsidP="00450327">
      <w:pPr>
        <w:ind w:left="-170"/>
        <w:jc w:val="center"/>
        <w:rPr>
          <w:rFonts w:ascii="Times New Roman" w:eastAsia="TimesNewRoman" w:hAnsi="Times New Roman"/>
          <w:color w:val="984806" w:themeColor="accent6" w:themeShade="80"/>
          <w:lang w:eastAsia="en-US"/>
        </w:rPr>
      </w:pPr>
      <w:r w:rsidRPr="008D616E">
        <w:rPr>
          <w:rFonts w:ascii="Times New Roman" w:eastAsia="TimesNewRoman" w:hAnsi="Times New Roman"/>
          <w:color w:val="984806" w:themeColor="accent6" w:themeShade="80"/>
          <w:sz w:val="18"/>
          <w:szCs w:val="18"/>
          <w:lang w:eastAsia="en-US"/>
        </w:rPr>
        <w:t>Reģ.nr.40002030404, adrese: Hospitāļu iela 8-8A, Rīga, LV 1013, tālr.67360657, fakss 67360658, e-pasts:pagrabniece@gmail.com</w:t>
      </w:r>
    </w:p>
    <w:p w14:paraId="35F6653D" w14:textId="77777777" w:rsidR="00216357" w:rsidRPr="00283265" w:rsidRDefault="00216357" w:rsidP="00E34D22">
      <w:pPr>
        <w:autoSpaceDE w:val="0"/>
        <w:autoSpaceDN w:val="0"/>
        <w:adjustRightInd w:val="0"/>
        <w:ind w:left="-360"/>
        <w:jc w:val="center"/>
        <w:rPr>
          <w:rFonts w:ascii="Garamond" w:hAnsi="Garamond" w:cs="Arial"/>
          <w:b/>
          <w:lang w:bidi="my-MM"/>
        </w:rPr>
      </w:pPr>
    </w:p>
    <w:p w14:paraId="03C2CFF0" w14:textId="77777777" w:rsidR="00BA6C43" w:rsidRDefault="00BA6C43" w:rsidP="00BA6C43">
      <w:pPr>
        <w:autoSpaceDE w:val="0"/>
        <w:autoSpaceDN w:val="0"/>
        <w:adjustRightInd w:val="0"/>
        <w:ind w:left="-360"/>
        <w:jc w:val="center"/>
        <w:rPr>
          <w:rFonts w:ascii="Times New Roman" w:hAnsi="Times New Roman"/>
          <w:b/>
          <w:sz w:val="22"/>
          <w:szCs w:val="22"/>
          <w:lang w:bidi="my-MM"/>
        </w:rPr>
      </w:pPr>
      <w:r>
        <w:rPr>
          <w:rFonts w:ascii="Times New Roman" w:hAnsi="Times New Roman"/>
          <w:b/>
          <w:sz w:val="22"/>
          <w:szCs w:val="22"/>
          <w:lang w:bidi="my-MM"/>
        </w:rPr>
        <w:t>NEATKARĪGU REVIDENTU ZIŅOJUMS</w:t>
      </w:r>
    </w:p>
    <w:p w14:paraId="63AFCB01" w14:textId="77777777" w:rsidR="00BA6C43" w:rsidRDefault="00BA6C43" w:rsidP="00BA6C43">
      <w:pPr>
        <w:jc w:val="both"/>
        <w:rPr>
          <w:rFonts w:ascii="Times New Roman" w:hAnsi="Times New Roman"/>
          <w:sz w:val="22"/>
          <w:szCs w:val="22"/>
        </w:rPr>
      </w:pPr>
    </w:p>
    <w:p w14:paraId="6A0BD4A1" w14:textId="77777777" w:rsidR="00BA6C43" w:rsidRDefault="00BA6C43" w:rsidP="00BA6C43">
      <w:pPr>
        <w:jc w:val="both"/>
        <w:rPr>
          <w:rFonts w:ascii="Times New Roman" w:hAnsi="Times New Roman"/>
          <w:b/>
          <w:sz w:val="22"/>
          <w:szCs w:val="22"/>
        </w:rPr>
      </w:pPr>
      <w:r>
        <w:rPr>
          <w:rFonts w:ascii="Times New Roman" w:hAnsi="Times New Roman"/>
          <w:b/>
          <w:sz w:val="22"/>
          <w:szCs w:val="22"/>
        </w:rPr>
        <w:t>SIA „Liepājas teātris” dalībniekam</w:t>
      </w:r>
    </w:p>
    <w:p w14:paraId="62E91A93" w14:textId="77777777" w:rsidR="00BA6C43" w:rsidRDefault="00BA6C43" w:rsidP="00BA6C43">
      <w:pPr>
        <w:pStyle w:val="Heading3"/>
        <w:rPr>
          <w:rFonts w:ascii="Times New Roman" w:hAnsi="Times New Roman"/>
          <w:b/>
          <w:sz w:val="22"/>
          <w:lang w:val="lv-LV"/>
        </w:rPr>
      </w:pPr>
      <w:r>
        <w:rPr>
          <w:rFonts w:ascii="Times New Roman" w:hAnsi="Times New Roman"/>
          <w:b/>
          <w:sz w:val="22"/>
          <w:lang w:val="lv-LV"/>
        </w:rPr>
        <w:t>Mūsu atzinums par finanšu pārskatu</w:t>
      </w:r>
    </w:p>
    <w:p w14:paraId="23AD5D6F" w14:textId="77777777" w:rsidR="00BA6C43" w:rsidRDefault="00BA6C43" w:rsidP="00BA6C43">
      <w:pPr>
        <w:pStyle w:val="BodyText"/>
        <w:spacing w:after="0"/>
        <w:rPr>
          <w:rFonts w:ascii="Times New Roman" w:hAnsi="Times New Roman"/>
          <w:lang w:val="lv-LV"/>
        </w:rPr>
      </w:pPr>
      <w:r>
        <w:rPr>
          <w:rFonts w:ascii="Times New Roman" w:hAnsi="Times New Roman"/>
          <w:lang w:val="lv-LV"/>
        </w:rPr>
        <w:t>Esam veikuši SIA „Liepājas teātris  (“Sabiedrība”) pievienotajā gada pārskatā ietvertā finanšu pārskata no 4. līdz 22. lapai revīziju. Pievienotais finanšu pārskats ietver:</w:t>
      </w:r>
    </w:p>
    <w:p w14:paraId="4CE6319B" w14:textId="77777777" w:rsidR="00BA6C43" w:rsidRDefault="00BA6C43" w:rsidP="00BA6C43">
      <w:pPr>
        <w:pStyle w:val="BodyText"/>
        <w:numPr>
          <w:ilvl w:val="0"/>
          <w:numId w:val="10"/>
        </w:numPr>
        <w:spacing w:before="0" w:after="0"/>
        <w:rPr>
          <w:rFonts w:ascii="Times New Roman" w:hAnsi="Times New Roman"/>
          <w:lang w:val="lv-LV"/>
        </w:rPr>
      </w:pPr>
      <w:r>
        <w:rPr>
          <w:rFonts w:ascii="Times New Roman" w:hAnsi="Times New Roman"/>
          <w:lang w:val="lv-LV"/>
        </w:rPr>
        <w:t xml:space="preserve">bilanci 2021. gada 31. decembrī, </w:t>
      </w:r>
    </w:p>
    <w:p w14:paraId="3609EFAF" w14:textId="77777777" w:rsidR="00BA6C43" w:rsidRDefault="00BA6C43" w:rsidP="00BA6C43">
      <w:pPr>
        <w:pStyle w:val="BodyText"/>
        <w:numPr>
          <w:ilvl w:val="0"/>
          <w:numId w:val="10"/>
        </w:numPr>
        <w:spacing w:before="0" w:after="0"/>
        <w:rPr>
          <w:rFonts w:ascii="Times New Roman" w:hAnsi="Times New Roman"/>
          <w:lang w:val="lv-LV"/>
        </w:rPr>
      </w:pPr>
      <w:r>
        <w:rPr>
          <w:rFonts w:ascii="Times New Roman" w:hAnsi="Times New Roman"/>
          <w:lang w:val="lv-LV"/>
        </w:rPr>
        <w:t xml:space="preserve">peļņas vai zaudējumu aprēķinu par gadu, kas noslēdzās 2021. gada 31. decembrī, </w:t>
      </w:r>
    </w:p>
    <w:p w14:paraId="363CE763" w14:textId="77777777" w:rsidR="00BA6C43" w:rsidRDefault="00BA6C43" w:rsidP="00BA6C43">
      <w:pPr>
        <w:pStyle w:val="BodyText"/>
        <w:numPr>
          <w:ilvl w:val="0"/>
          <w:numId w:val="10"/>
        </w:numPr>
        <w:spacing w:before="0" w:after="0"/>
        <w:rPr>
          <w:rFonts w:ascii="Times New Roman" w:hAnsi="Times New Roman"/>
          <w:lang w:val="lv-LV"/>
        </w:rPr>
      </w:pPr>
      <w:r>
        <w:rPr>
          <w:rFonts w:ascii="Times New Roman" w:hAnsi="Times New Roman"/>
          <w:lang w:val="lv-LV"/>
        </w:rPr>
        <w:t>naudas plūsmas pārskatu par gadu, kas noslēdzās 2021. gada 31. decembrī,</w:t>
      </w:r>
    </w:p>
    <w:p w14:paraId="5985A07F" w14:textId="77777777" w:rsidR="00BA6C43" w:rsidRDefault="00BA6C43" w:rsidP="00BA6C43">
      <w:pPr>
        <w:pStyle w:val="BodyText"/>
        <w:numPr>
          <w:ilvl w:val="0"/>
          <w:numId w:val="10"/>
        </w:numPr>
        <w:spacing w:before="0" w:after="0"/>
        <w:rPr>
          <w:rFonts w:ascii="Times New Roman" w:hAnsi="Times New Roman"/>
          <w:lang w:val="lv-LV"/>
        </w:rPr>
      </w:pPr>
      <w:r>
        <w:rPr>
          <w:rFonts w:ascii="Times New Roman" w:hAnsi="Times New Roman"/>
          <w:lang w:val="lv-LV"/>
        </w:rPr>
        <w:t>pašu kapitāla</w:t>
      </w:r>
      <w:r>
        <w:rPr>
          <w:rFonts w:ascii="Times New Roman" w:hAnsi="Times New Roman"/>
          <w:color w:val="FF0000"/>
          <w:lang w:val="lv-LV"/>
        </w:rPr>
        <w:t xml:space="preserve"> </w:t>
      </w:r>
      <w:r>
        <w:rPr>
          <w:rFonts w:ascii="Times New Roman" w:hAnsi="Times New Roman"/>
          <w:lang w:val="lv-LV"/>
        </w:rPr>
        <w:t>izmaiņu pārskatu par gadu, kas noslēdzās 2021. gada 31. decembrī,</w:t>
      </w:r>
    </w:p>
    <w:p w14:paraId="766B18AD" w14:textId="77777777" w:rsidR="00BA6C43" w:rsidRDefault="00BA6C43" w:rsidP="00BA6C43">
      <w:pPr>
        <w:pStyle w:val="BodyText"/>
        <w:numPr>
          <w:ilvl w:val="0"/>
          <w:numId w:val="10"/>
        </w:numPr>
        <w:spacing w:before="0" w:after="0"/>
        <w:rPr>
          <w:rFonts w:ascii="Times New Roman" w:hAnsi="Times New Roman"/>
          <w:lang w:val="lv-LV"/>
        </w:rPr>
      </w:pPr>
      <w:r>
        <w:rPr>
          <w:rFonts w:ascii="Times New Roman" w:hAnsi="Times New Roman"/>
          <w:lang w:val="lv-LV"/>
        </w:rPr>
        <w:t>finanšu pārskata pielikumu, kas ietver nozīmīgu grāmatvedības uzskaites principu kopsavilkumu un citu paskaidrojošu informāciju.</w:t>
      </w:r>
    </w:p>
    <w:p w14:paraId="059E9E4F" w14:textId="77777777" w:rsidR="00BA6C43" w:rsidRDefault="00BA6C43" w:rsidP="00BA6C43">
      <w:pPr>
        <w:pStyle w:val="BodyText"/>
        <w:rPr>
          <w:rFonts w:ascii="Times New Roman" w:hAnsi="Times New Roman"/>
          <w:lang w:val="lv-LV"/>
        </w:rPr>
      </w:pPr>
      <w:r>
        <w:rPr>
          <w:rFonts w:ascii="Times New Roman" w:hAnsi="Times New Roman"/>
          <w:lang w:val="lv-LV"/>
        </w:rPr>
        <w:t xml:space="preserve">Mūsuprāt, pievienotais finanšu pārskats sniedz patiesu un skaidru priekšstatu par SIA „Liepājas teātris” finansiālo stāvokli  2021. gada 31. decembrī un par tās darbības finanšu rezultātiem un naudas plūsmu gadā, kas noslēdzās       2021. gada 31. decembrī, saskaņā ar Latvijas Republikas Gada pārskatu un konsolidēto gada pārskatu likumu (“Gada pārskatu un konsolidēto gada pārskatu likums”). </w:t>
      </w:r>
    </w:p>
    <w:p w14:paraId="312C011C" w14:textId="77777777" w:rsidR="00BA6C43" w:rsidRDefault="00BA6C43" w:rsidP="00BA6C43">
      <w:pPr>
        <w:pStyle w:val="Heading3"/>
        <w:rPr>
          <w:rFonts w:ascii="Times New Roman" w:hAnsi="Times New Roman"/>
          <w:b/>
          <w:sz w:val="22"/>
          <w:lang w:val="lv-LV"/>
        </w:rPr>
      </w:pPr>
      <w:r>
        <w:rPr>
          <w:rFonts w:ascii="Times New Roman" w:hAnsi="Times New Roman"/>
          <w:b/>
          <w:sz w:val="22"/>
          <w:lang w:val="lv-LV"/>
        </w:rPr>
        <w:t>Atzinuma pamatojums</w:t>
      </w:r>
    </w:p>
    <w:p w14:paraId="003362CC" w14:textId="77777777" w:rsidR="00BA6C43" w:rsidRDefault="00BA6C43" w:rsidP="00BA6C43">
      <w:pPr>
        <w:pStyle w:val="BodyText"/>
        <w:rPr>
          <w:rFonts w:ascii="Times New Roman" w:hAnsi="Times New Roman"/>
          <w:lang w:val="lv-LV"/>
        </w:rPr>
      </w:pPr>
      <w:r>
        <w:rPr>
          <w:rFonts w:ascii="Times New Roman" w:hAnsi="Times New Roman"/>
          <w:lang w:val="lv-LV"/>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w:t>
      </w:r>
      <w:r>
        <w:rPr>
          <w:rFonts w:ascii="Times New Roman" w:hAnsi="Times New Roman"/>
          <w:i/>
          <w:lang w:val="lv-LV"/>
        </w:rPr>
        <w:t>Revidenta atbildība par finanšu pārskata revīziju</w:t>
      </w:r>
      <w:r>
        <w:rPr>
          <w:rFonts w:ascii="Times New Roman" w:hAnsi="Times New Roman"/>
          <w:lang w:val="lv-LV"/>
        </w:rPr>
        <w:t xml:space="preserve">. </w:t>
      </w:r>
    </w:p>
    <w:p w14:paraId="4E61D47F" w14:textId="77777777" w:rsidR="00BA6C43" w:rsidRDefault="00BA6C43" w:rsidP="00BA6C43">
      <w:pPr>
        <w:pStyle w:val="BodyText"/>
        <w:rPr>
          <w:rFonts w:ascii="Times New Roman" w:hAnsi="Times New Roman"/>
          <w:lang w:val="lv-LV"/>
        </w:rPr>
      </w:pPr>
      <w:r>
        <w:rPr>
          <w:rFonts w:ascii="Times New Roman" w:hAnsi="Times New Roman"/>
          <w:lang w:val="lv-LV"/>
        </w:rPr>
        <w:t xml:space="preserve">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 </w:t>
      </w:r>
    </w:p>
    <w:p w14:paraId="1A21E24F" w14:textId="77777777" w:rsidR="00BA6C43" w:rsidRDefault="00BA6C43" w:rsidP="00BA6C43">
      <w:pPr>
        <w:pStyle w:val="BodyText"/>
        <w:rPr>
          <w:rFonts w:ascii="Times New Roman" w:hAnsi="Times New Roman"/>
          <w:lang w:val="lv-LV"/>
        </w:rPr>
      </w:pPr>
      <w:r>
        <w:rPr>
          <w:rFonts w:ascii="Times New Roman" w:hAnsi="Times New Roman"/>
          <w:lang w:val="lv-LV"/>
        </w:rPr>
        <w:t>Mēs uzskatām, ka mūsu iegūtie revīzijas pierādījumi dod pietiekamu un atbilstošu pamatojumu mūsu atzinumam.</w:t>
      </w:r>
    </w:p>
    <w:p w14:paraId="20F3AE38" w14:textId="77777777" w:rsidR="00BA6C43" w:rsidRDefault="00BA6C43" w:rsidP="00BA6C43">
      <w:pPr>
        <w:pStyle w:val="Heading3"/>
        <w:rPr>
          <w:rFonts w:ascii="Times New Roman" w:hAnsi="Times New Roman"/>
          <w:b/>
          <w:sz w:val="22"/>
          <w:lang w:val="lv-LV"/>
        </w:rPr>
      </w:pPr>
      <w:r>
        <w:rPr>
          <w:rFonts w:ascii="Times New Roman" w:hAnsi="Times New Roman"/>
          <w:b/>
          <w:bCs/>
          <w:sz w:val="22"/>
          <w:lang w:val="lv-LV"/>
        </w:rPr>
        <w:t>Ziņošana par citu informāciju</w:t>
      </w:r>
    </w:p>
    <w:p w14:paraId="3F6F52B1" w14:textId="77777777" w:rsidR="00BA6C43" w:rsidRDefault="00BA6C43" w:rsidP="00BA6C43">
      <w:pPr>
        <w:pStyle w:val="BodyText"/>
        <w:rPr>
          <w:rFonts w:ascii="Times New Roman" w:hAnsi="Times New Roman"/>
          <w:lang w:val="lv-LV"/>
        </w:rPr>
      </w:pPr>
      <w:r>
        <w:rPr>
          <w:rFonts w:ascii="Times New Roman" w:hAnsi="Times New Roman"/>
          <w:lang w:val="lv-LV"/>
        </w:rPr>
        <w:t>Par citu informāciju atbild Sabiedrības vadība. Citu informāciju veido:</w:t>
      </w:r>
    </w:p>
    <w:p w14:paraId="2CC41A8E" w14:textId="77777777" w:rsidR="00BA6C43" w:rsidRDefault="00BA6C43" w:rsidP="00BA6C43">
      <w:pPr>
        <w:pStyle w:val="BodyText"/>
        <w:numPr>
          <w:ilvl w:val="0"/>
          <w:numId w:val="11"/>
        </w:numPr>
        <w:rPr>
          <w:rFonts w:ascii="Times New Roman" w:hAnsi="Times New Roman"/>
          <w:lang w:val="lv-LV"/>
        </w:rPr>
      </w:pPr>
      <w:r>
        <w:rPr>
          <w:rFonts w:ascii="Times New Roman" w:hAnsi="Times New Roman"/>
          <w:lang w:val="lv-LV"/>
        </w:rPr>
        <w:t>informācija par Sabiedrību,  kas sniegta pievienotā gada pārskata 3.</w:t>
      </w:r>
      <w:bookmarkStart w:id="0" w:name="_Hlk32913785"/>
      <w:r>
        <w:rPr>
          <w:rFonts w:ascii="Times New Roman" w:hAnsi="Times New Roman"/>
          <w:lang w:val="lv-LV"/>
        </w:rPr>
        <w:t> </w:t>
      </w:r>
      <w:bookmarkEnd w:id="0"/>
      <w:r>
        <w:rPr>
          <w:rFonts w:ascii="Times New Roman" w:hAnsi="Times New Roman"/>
          <w:lang w:val="lv-LV"/>
        </w:rPr>
        <w:t>lapā;</w:t>
      </w:r>
    </w:p>
    <w:p w14:paraId="7A3B93A6" w14:textId="77777777" w:rsidR="00BA6C43" w:rsidRDefault="00BA6C43" w:rsidP="00BA6C43">
      <w:pPr>
        <w:pStyle w:val="BodyText"/>
        <w:numPr>
          <w:ilvl w:val="0"/>
          <w:numId w:val="11"/>
        </w:numPr>
        <w:rPr>
          <w:rFonts w:ascii="Times New Roman" w:hAnsi="Times New Roman"/>
          <w:lang w:val="lv-LV"/>
        </w:rPr>
      </w:pPr>
      <w:r>
        <w:rPr>
          <w:rFonts w:ascii="Times New Roman" w:hAnsi="Times New Roman"/>
          <w:lang w:val="lv-LV"/>
        </w:rPr>
        <w:t xml:space="preserve">vadības ziņojums, kas sniegts pievienotajā gada pārskatā no 23. līdz 28. lapai. </w:t>
      </w:r>
    </w:p>
    <w:p w14:paraId="5A9C2DE1" w14:textId="77777777" w:rsidR="00BA6C43" w:rsidRDefault="00BA6C43" w:rsidP="00BA6C43">
      <w:pPr>
        <w:pStyle w:val="BodyText"/>
        <w:rPr>
          <w:rFonts w:ascii="Times New Roman" w:hAnsi="Times New Roman"/>
          <w:lang w:val="lv-LV"/>
        </w:rPr>
      </w:pPr>
      <w:r>
        <w:rPr>
          <w:rFonts w:ascii="Times New Roman" w:hAnsi="Times New Roman"/>
          <w:lang w:val="lv-LV"/>
        </w:rPr>
        <w:t xml:space="preserve">Mūsu atzinums par finanšu pārskatu neattiecas uz gada pārskatā ietverto citu informāciju, un mēs nesniedzam par to nekāda veida apliecinājumu, izņemot to kā norādīts mūsu ziņojuma sadaļā </w:t>
      </w:r>
      <w:r>
        <w:rPr>
          <w:rFonts w:ascii="Times New Roman" w:hAnsi="Times New Roman"/>
          <w:i/>
          <w:lang w:val="lv-LV"/>
        </w:rPr>
        <w:t>Citas ziņošanas prasības saskaņā ar Latvijas Republikas tiesību aktu prasībām</w:t>
      </w:r>
      <w:r>
        <w:rPr>
          <w:rFonts w:ascii="Times New Roman" w:hAnsi="Times New Roman"/>
          <w:lang w:val="lv-LV"/>
        </w:rPr>
        <w:t xml:space="preserve">. </w:t>
      </w:r>
    </w:p>
    <w:p w14:paraId="34990434" w14:textId="77777777" w:rsidR="00BA6C43" w:rsidRDefault="00BA6C43" w:rsidP="00BA6C43">
      <w:pPr>
        <w:pStyle w:val="BodyText"/>
        <w:rPr>
          <w:rFonts w:ascii="Times New Roman" w:hAnsi="Times New Roman"/>
          <w:lang w:val="lv-LV"/>
        </w:rPr>
      </w:pPr>
      <w:r>
        <w:rPr>
          <w:rFonts w:ascii="Times New Roman" w:hAnsi="Times New Roman"/>
          <w:lang w:val="lv-LV"/>
        </w:rPr>
        <w:t>Saistībā ar finanšu pārskata revīziju mūsu pienākums ir iepazīties ar citu informāciju un, to darot, izvērtēt, vai šī cita informācija būtiski neatšķiras no finanšu pārskata informācijas vai no mūsu zināšanām, kuras mēs ieguvām revīzijas gaitā, un vai tā nesatur cita veida būtiskas neatbilstības.</w:t>
      </w:r>
    </w:p>
    <w:p w14:paraId="6D431535" w14:textId="77777777" w:rsidR="00BA6C43" w:rsidRDefault="00BA6C43" w:rsidP="00BA6C43">
      <w:pPr>
        <w:pStyle w:val="BodyText"/>
        <w:rPr>
          <w:rFonts w:ascii="Times New Roman" w:hAnsi="Times New Roman"/>
          <w:lang w:val="lv-LV"/>
        </w:rPr>
      </w:pPr>
      <w:r>
        <w:rPr>
          <w:rFonts w:ascii="Times New Roman" w:hAnsi="Times New Roman"/>
          <w:lang w:val="lv-LV"/>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419175AF" w14:textId="77777777" w:rsidR="00BA6C43" w:rsidRDefault="00BA6C43" w:rsidP="00BA6C43">
      <w:pPr>
        <w:jc w:val="both"/>
        <w:rPr>
          <w:rFonts w:ascii="Times New Roman" w:hAnsi="Times New Roman"/>
          <w:bCs/>
          <w:i/>
        </w:rPr>
      </w:pPr>
      <w:r>
        <w:rPr>
          <w:rFonts w:ascii="Times New Roman" w:hAnsi="Times New Roman"/>
          <w:bCs/>
          <w:i/>
        </w:rPr>
        <w:t>Citas ziņošanas prasības saskaņā ar Latvijas Republikas tiesību aktu prasībām</w:t>
      </w:r>
    </w:p>
    <w:p w14:paraId="045C95EA" w14:textId="77777777" w:rsidR="00BA6C43" w:rsidRDefault="00BA6C43" w:rsidP="00BA6C43">
      <w:pPr>
        <w:pStyle w:val="BodyText"/>
        <w:rPr>
          <w:rFonts w:ascii="Times New Roman" w:hAnsi="Times New Roman"/>
          <w:lang w:val="lv-LV"/>
        </w:rPr>
      </w:pPr>
      <w:r>
        <w:rPr>
          <w:rFonts w:ascii="Times New Roman" w:hAnsi="Times New Roman"/>
          <w:lang w:val="lv-LV"/>
        </w:rPr>
        <w:t>Papildus tam, saskaņā ar Revīzijas pakalpojumu likumu mūsu pienākums ir sniegt viedokli, vai Vadības ziņojums ir sagatavots saskaņā ar tā sagatavošanu reglamentējošā normatīvā akta, Gada pārskatu un konsolidēto gada pārskatu likuma, prasībām.</w:t>
      </w:r>
    </w:p>
    <w:p w14:paraId="6EEFF597" w14:textId="77777777" w:rsidR="00BA6C43" w:rsidRDefault="00BA6C43" w:rsidP="00BA6C43">
      <w:pPr>
        <w:pStyle w:val="KAMKNormal"/>
        <w:spacing w:before="130" w:after="130"/>
        <w:jc w:val="both"/>
        <w:rPr>
          <w:rFonts w:ascii="Times New Roman" w:hAnsi="Times New Roman"/>
          <w:color w:val="auto"/>
          <w:sz w:val="20"/>
          <w:szCs w:val="20"/>
        </w:rPr>
      </w:pPr>
      <w:r>
        <w:rPr>
          <w:rFonts w:ascii="Times New Roman" w:hAnsi="Times New Roman"/>
          <w:color w:val="auto"/>
          <w:sz w:val="20"/>
          <w:szCs w:val="20"/>
        </w:rPr>
        <w:t>Pamatojoties vienīgi uz mūsu revīzijas ietvaros veiktajām procedūrām, mūsuprāt:</w:t>
      </w:r>
    </w:p>
    <w:p w14:paraId="06AD9BEB" w14:textId="77777777" w:rsidR="00BA6C43" w:rsidRDefault="00BA6C43" w:rsidP="00BA6C43">
      <w:pPr>
        <w:pStyle w:val="BodyText"/>
        <w:numPr>
          <w:ilvl w:val="0"/>
          <w:numId w:val="12"/>
        </w:numPr>
        <w:rPr>
          <w:rFonts w:ascii="Times New Roman" w:hAnsi="Times New Roman"/>
          <w:lang w:val="lv-LV"/>
        </w:rPr>
      </w:pPr>
      <w:r>
        <w:rPr>
          <w:rFonts w:ascii="Times New Roman" w:hAnsi="Times New Roman"/>
          <w:lang w:val="lv-LV"/>
        </w:rPr>
        <w:t>Vadības ziņojumā par pārskata gadu, par kuru ir sagatavots finanšu pārskats, sniegtā informācija atbilst finanšu pārskatam, un</w:t>
      </w:r>
    </w:p>
    <w:p w14:paraId="4D4335CD" w14:textId="77777777" w:rsidR="00BA6C43" w:rsidRDefault="00BA6C43" w:rsidP="00BA6C43">
      <w:pPr>
        <w:pStyle w:val="BodyText"/>
        <w:numPr>
          <w:ilvl w:val="0"/>
          <w:numId w:val="12"/>
        </w:numPr>
        <w:rPr>
          <w:rFonts w:ascii="Times New Roman" w:hAnsi="Times New Roman"/>
          <w:lang w:val="lv-LV"/>
        </w:rPr>
      </w:pPr>
      <w:r>
        <w:rPr>
          <w:rFonts w:ascii="Times New Roman" w:hAnsi="Times New Roman"/>
          <w:lang w:val="lv-LV"/>
        </w:rPr>
        <w:t>Vadības ziņojums ir sagatavots saskaņā ar Gada pārskatu un konsolidēto gada pārskatu likuma prasībām.</w:t>
      </w:r>
    </w:p>
    <w:p w14:paraId="445ED728" w14:textId="77777777" w:rsidR="00BA6C43" w:rsidRDefault="00BA6C43" w:rsidP="00BA6C43">
      <w:pPr>
        <w:pStyle w:val="BodyText"/>
        <w:spacing w:before="240"/>
        <w:rPr>
          <w:rFonts w:ascii="Times New Roman" w:hAnsi="Times New Roman"/>
          <w:b/>
          <w:i/>
          <w:sz w:val="22"/>
          <w:szCs w:val="22"/>
          <w:lang w:val="lv-LV"/>
        </w:rPr>
      </w:pPr>
      <w:bookmarkStart w:id="1" w:name="_Hlt123459733"/>
      <w:bookmarkStart w:id="2" w:name="_Hlt123459739"/>
      <w:bookmarkStart w:id="3" w:name="_Hlt123460032"/>
      <w:r>
        <w:rPr>
          <w:rFonts w:ascii="Times New Roman" w:hAnsi="Times New Roman"/>
          <w:b/>
          <w:i/>
          <w:sz w:val="22"/>
          <w:szCs w:val="22"/>
          <w:lang w:val="lv-LV"/>
        </w:rPr>
        <w:lastRenderedPageBreak/>
        <w:t xml:space="preserve">Vadības un personu, kurām uzticēta Sabiedrības pārraudzība, atbildība par finanšu pārskatu </w:t>
      </w:r>
    </w:p>
    <w:bookmarkEnd w:id="1"/>
    <w:bookmarkEnd w:id="2"/>
    <w:bookmarkEnd w:id="3"/>
    <w:p w14:paraId="0570F9E5" w14:textId="77777777" w:rsidR="00BA6C43" w:rsidRDefault="00BA6C43" w:rsidP="00BA6C43">
      <w:pPr>
        <w:pStyle w:val="BodyText"/>
        <w:rPr>
          <w:rFonts w:ascii="Times New Roman" w:hAnsi="Times New Roman"/>
          <w:lang w:val="lv-LV"/>
        </w:rPr>
      </w:pPr>
      <w:r>
        <w:rPr>
          <w:rFonts w:ascii="Times New Roman" w:hAnsi="Times New Roman"/>
          <w:lang w:val="lv-LV"/>
        </w:rPr>
        <w:t xml:space="preserve">Vadība ir atbildīga par tāda 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5A2F69EE" w14:textId="77777777" w:rsidR="00BA6C43" w:rsidRDefault="00BA6C43" w:rsidP="00BA6C43">
      <w:pPr>
        <w:pStyle w:val="BodyText"/>
        <w:rPr>
          <w:rFonts w:ascii="Times New Roman" w:hAnsi="Times New Roman"/>
          <w:lang w:val="lv-LV"/>
        </w:rPr>
      </w:pPr>
      <w:r>
        <w:rPr>
          <w:rFonts w:ascii="Times New Roman" w:hAnsi="Times New Roman"/>
          <w:lang w:val="lv-LV"/>
        </w:rPr>
        <w:t>Sagatavojot finanšu pārskatu, vadības pienākums ir izvērtēt Sabiedrības spēju turpināt darbību, pēc nepieciešamības sniedzot informāciju  par apstākļiem, kas saistīti ar Sabiedrības spēju turpināt darbību un darbības turpināšanas principa piemērošanu, ja vien vadība neplāno Sabiedrības likvidāciju vai tās darbības izbeigšanu, vai arī tai nav citas reālas alternatīvas kā Sabiedrības likvidācija vai darbības izbeigšana.</w:t>
      </w:r>
    </w:p>
    <w:p w14:paraId="67FFC1F3" w14:textId="77777777" w:rsidR="00BA6C43" w:rsidRDefault="00BA6C43" w:rsidP="00BA6C43">
      <w:pPr>
        <w:pStyle w:val="BodyText"/>
        <w:rPr>
          <w:rFonts w:ascii="Times New Roman" w:hAnsi="Times New Roman"/>
          <w:lang w:val="lv-LV"/>
        </w:rPr>
      </w:pPr>
      <w:r>
        <w:rPr>
          <w:rFonts w:ascii="Times New Roman" w:hAnsi="Times New Roman"/>
          <w:lang w:val="lv-LV"/>
        </w:rPr>
        <w:t>Personas, kurām uzticēta Sabiedrības pārraudzība, ir atbildīgas par Sabiedrības finanšu pārskata sagatavošanas procesa uzraudzību.</w:t>
      </w:r>
    </w:p>
    <w:p w14:paraId="59C07618" w14:textId="77777777" w:rsidR="00BA6C43" w:rsidRDefault="00BA6C43" w:rsidP="00BA6C43">
      <w:pPr>
        <w:pStyle w:val="Heading3"/>
        <w:rPr>
          <w:rFonts w:ascii="Times New Roman" w:hAnsi="Times New Roman"/>
          <w:b/>
          <w:sz w:val="22"/>
          <w:lang w:val="lv-LV"/>
        </w:rPr>
      </w:pPr>
      <w:r>
        <w:rPr>
          <w:rFonts w:ascii="Times New Roman" w:hAnsi="Times New Roman"/>
          <w:b/>
          <w:sz w:val="22"/>
          <w:lang w:val="lv-LV"/>
        </w:rPr>
        <w:t xml:space="preserve">Revidenta atbildība par finanšu pārskata revīziju </w:t>
      </w:r>
    </w:p>
    <w:p w14:paraId="477F695C" w14:textId="77777777" w:rsidR="00BA6C43" w:rsidRDefault="00BA6C43" w:rsidP="00BA6C43">
      <w:pPr>
        <w:pStyle w:val="BodyText"/>
        <w:rPr>
          <w:rFonts w:ascii="Times New Roman" w:hAnsi="Times New Roman"/>
          <w:lang w:val="lv-LV"/>
        </w:rPr>
      </w:pPr>
      <w:r>
        <w:rPr>
          <w:rFonts w:ascii="Times New Roman" w:hAnsi="Times New Roman"/>
          <w:lang w:val="lv-LV"/>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 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 finanšu pārskatu.</w:t>
      </w:r>
    </w:p>
    <w:p w14:paraId="7DF9C4D0" w14:textId="77777777" w:rsidR="00BA6C43" w:rsidRDefault="00BA6C43" w:rsidP="00BA6C43">
      <w:pPr>
        <w:pStyle w:val="BodyText"/>
        <w:rPr>
          <w:rFonts w:ascii="Times New Roman" w:hAnsi="Times New Roman"/>
          <w:lang w:val="lv-LV"/>
        </w:rPr>
      </w:pPr>
      <w:r>
        <w:rPr>
          <w:rFonts w:ascii="Times New Roman" w:hAnsi="Times New Roman"/>
          <w:lang w:val="lv-LV"/>
        </w:rPr>
        <w:t>Veicot revīziju saskaņā ar SRS, visa revīzijas procesa gaitā mēs izdarām profesionālus spriedumus un saglabājam profesionālo skepticismu. Mēs arī:</w:t>
      </w:r>
    </w:p>
    <w:p w14:paraId="720049F5" w14:textId="77777777" w:rsidR="00BA6C43" w:rsidRDefault="00BA6C43" w:rsidP="00BA6C43">
      <w:pPr>
        <w:pStyle w:val="BodyText"/>
        <w:numPr>
          <w:ilvl w:val="0"/>
          <w:numId w:val="13"/>
        </w:numPr>
        <w:rPr>
          <w:rFonts w:ascii="Times New Roman" w:hAnsi="Times New Roman"/>
          <w:lang w:val="lv-LV"/>
        </w:rPr>
      </w:pPr>
      <w:r>
        <w:rPr>
          <w:rFonts w:ascii="Times New Roman" w:hAnsi="Times New Roman"/>
          <w:lang w:val="lv-LV"/>
        </w:rPr>
        <w:t>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10223983" w14:textId="77777777" w:rsidR="00BA6C43" w:rsidRDefault="00BA6C43" w:rsidP="00BA6C43">
      <w:pPr>
        <w:pStyle w:val="BodyText"/>
        <w:numPr>
          <w:ilvl w:val="0"/>
          <w:numId w:val="13"/>
        </w:numPr>
        <w:rPr>
          <w:rFonts w:ascii="Times New Roman" w:hAnsi="Times New Roman"/>
          <w:lang w:val="lv-LV"/>
        </w:rPr>
      </w:pPr>
      <w:r>
        <w:rPr>
          <w:rFonts w:ascii="Times New Roman" w:hAnsi="Times New Roman"/>
          <w:lang w:val="lv-LV"/>
        </w:rPr>
        <w:t>iegūstam izpratni par iekšējo kontroli, kas ir būtiska revīzijas veikšanai, lai izstrādātu konkrētajiem apstākļiem atbilstošas revīzijas procedūras, bet nevis, lai sniegtu atzinumu par Sabiedrības iekšējās kontroles efektivitāti;</w:t>
      </w:r>
    </w:p>
    <w:p w14:paraId="0C0513A9" w14:textId="77777777" w:rsidR="00BA6C43" w:rsidRDefault="00BA6C43" w:rsidP="00BA6C43">
      <w:pPr>
        <w:pStyle w:val="BodyText"/>
        <w:numPr>
          <w:ilvl w:val="0"/>
          <w:numId w:val="13"/>
        </w:numPr>
        <w:rPr>
          <w:rFonts w:ascii="Times New Roman" w:hAnsi="Times New Roman"/>
          <w:lang w:val="lv-LV"/>
        </w:rPr>
      </w:pPr>
      <w:r>
        <w:rPr>
          <w:rFonts w:ascii="Times New Roman" w:hAnsi="Times New Roman"/>
          <w:lang w:val="lv-LV"/>
        </w:rPr>
        <w:t>izvērtējam pielietoto grāmatvedības politiku atbilstību un grāmatvedības aplēšu un attiecīgās vadības uzrādītās informācijas pamatotību;</w:t>
      </w:r>
    </w:p>
    <w:p w14:paraId="39CFEF4B" w14:textId="77777777" w:rsidR="00BA6C43" w:rsidRDefault="00BA6C43" w:rsidP="00BA6C43">
      <w:pPr>
        <w:pStyle w:val="BodyText"/>
        <w:numPr>
          <w:ilvl w:val="0"/>
          <w:numId w:val="13"/>
        </w:numPr>
        <w:rPr>
          <w:rFonts w:ascii="Times New Roman" w:hAnsi="Times New Roman"/>
          <w:lang w:val="lv-LV"/>
        </w:rPr>
      </w:pPr>
      <w:r>
        <w:rPr>
          <w:rFonts w:ascii="Times New Roman" w:hAnsi="Times New Roman"/>
          <w:lang w:val="lv-LV"/>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791BF339" w14:textId="77777777" w:rsidR="00BA6C43" w:rsidRDefault="00BA6C43" w:rsidP="00BA6C43">
      <w:pPr>
        <w:pStyle w:val="BodyText"/>
        <w:numPr>
          <w:ilvl w:val="0"/>
          <w:numId w:val="13"/>
        </w:numPr>
        <w:rPr>
          <w:rFonts w:ascii="Times New Roman" w:hAnsi="Times New Roman"/>
          <w:lang w:val="lv-LV"/>
        </w:rPr>
      </w:pPr>
      <w:r>
        <w:rPr>
          <w:rFonts w:ascii="Times New Roman" w:hAnsi="Times New Roman"/>
          <w:lang w:val="lv-LV"/>
        </w:rPr>
        <w:t>izvērtējam vispārēju finanšu pārskata struktūru un saturu, ieskaitot atklāto informāciju un skaidrojumus pielikumā, un to, vai finanšu pārskats patiesi atspoguļo pārskata pamatā esošos darījumus un notikumus.</w:t>
      </w:r>
    </w:p>
    <w:p w14:paraId="404ECFE3" w14:textId="77777777" w:rsidR="00BA6C43" w:rsidRDefault="00BA6C43" w:rsidP="00BA6C43">
      <w:pPr>
        <w:pStyle w:val="BodyText"/>
        <w:rPr>
          <w:rFonts w:ascii="Times New Roman" w:hAnsi="Times New Roman"/>
          <w:lang w:val="lv-LV"/>
        </w:rPr>
      </w:pPr>
      <w:r>
        <w:rPr>
          <w:rFonts w:ascii="Times New Roman" w:hAnsi="Times New Roman"/>
          <w:lang w:val="lv-LV"/>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2A8A0CCF" w14:textId="77777777" w:rsidR="00BA6C43" w:rsidRDefault="00BA6C43" w:rsidP="00BA6C43">
      <w:pPr>
        <w:pStyle w:val="BodyText"/>
        <w:spacing w:before="0" w:after="0"/>
        <w:rPr>
          <w:rFonts w:ascii="Times New Roman" w:hAnsi="Times New Roman"/>
          <w:lang w:val="lv-LV"/>
        </w:rPr>
      </w:pPr>
    </w:p>
    <w:p w14:paraId="0D1A36C5"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SIA „Pagrabnieces Auditoru Birojs”</w:t>
      </w:r>
    </w:p>
    <w:p w14:paraId="41B3E7AD"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Licence Nr.8</w:t>
      </w:r>
    </w:p>
    <w:p w14:paraId="7B10573C" w14:textId="4E5F1456" w:rsidR="00BA6C43" w:rsidRDefault="00BA6C43" w:rsidP="00BA6C43">
      <w:pPr>
        <w:pStyle w:val="BodyText"/>
        <w:spacing w:before="0" w:after="0"/>
        <w:rPr>
          <w:rFonts w:ascii="Times New Roman" w:hAnsi="Times New Roman"/>
          <w:lang w:val="lv-LV"/>
        </w:rPr>
      </w:pPr>
    </w:p>
    <w:p w14:paraId="309C129E" w14:textId="77777777" w:rsidR="00BA6C43" w:rsidRDefault="00BA6C43" w:rsidP="00BA6C43">
      <w:pPr>
        <w:pStyle w:val="BodyText"/>
        <w:spacing w:before="0" w:after="0"/>
        <w:rPr>
          <w:rFonts w:ascii="Times New Roman" w:hAnsi="Times New Roman"/>
          <w:lang w:val="lv-LV"/>
        </w:rPr>
      </w:pPr>
    </w:p>
    <w:p w14:paraId="3CEF93D4"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Nellija Pagrabniece</w:t>
      </w:r>
    </w:p>
    <w:p w14:paraId="4E070FBF"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Valdes priekšsēdētāja</w:t>
      </w:r>
    </w:p>
    <w:p w14:paraId="7FF3E328"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LR zvērināta revidente</w:t>
      </w:r>
    </w:p>
    <w:p w14:paraId="4A5E6E64"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Sertifikāts Nr. 87</w:t>
      </w:r>
    </w:p>
    <w:p w14:paraId="23BDCBB8" w14:textId="77777777" w:rsidR="00BA6C43" w:rsidRDefault="00BA6C43" w:rsidP="00BA6C43">
      <w:pPr>
        <w:pStyle w:val="BodyText"/>
        <w:spacing w:before="0" w:after="0"/>
        <w:rPr>
          <w:rFonts w:ascii="Times New Roman" w:hAnsi="Times New Roman"/>
          <w:lang w:val="lv-LV"/>
        </w:rPr>
      </w:pPr>
    </w:p>
    <w:p w14:paraId="433D2012" w14:textId="77777777" w:rsidR="00BA6C43" w:rsidRDefault="00BA6C43" w:rsidP="00BA6C43">
      <w:pPr>
        <w:pStyle w:val="BodyText"/>
        <w:spacing w:before="0" w:after="0"/>
        <w:rPr>
          <w:rFonts w:ascii="Times New Roman" w:hAnsi="Times New Roman"/>
          <w:lang w:val="lv-LV"/>
        </w:rPr>
      </w:pPr>
      <w:r>
        <w:rPr>
          <w:rFonts w:ascii="Times New Roman" w:hAnsi="Times New Roman"/>
          <w:lang w:val="lv-LV"/>
        </w:rPr>
        <w:t>Rīgā, 2022.gada 10.martā</w:t>
      </w:r>
    </w:p>
    <w:p w14:paraId="4EB2F310" w14:textId="42238E25" w:rsidR="00C0727D" w:rsidRDefault="00C0727D" w:rsidP="00BE7F46">
      <w:pPr>
        <w:pStyle w:val="BodyText"/>
        <w:spacing w:before="0" w:after="0"/>
        <w:rPr>
          <w:rFonts w:ascii="Times New Roman" w:hAnsi="Times New Roman"/>
          <w:lang w:val="lv-LV"/>
        </w:rPr>
      </w:pPr>
    </w:p>
    <w:tbl>
      <w:tblPr>
        <w:tblW w:w="9498" w:type="dxa"/>
        <w:tblLook w:val="04A0" w:firstRow="1" w:lastRow="0" w:firstColumn="1" w:lastColumn="0" w:noHBand="0" w:noVBand="1"/>
      </w:tblPr>
      <w:tblGrid>
        <w:gridCol w:w="9498"/>
      </w:tblGrid>
      <w:tr w:rsidR="00C0727D" w:rsidRPr="00C0727D" w14:paraId="1B93CDE0" w14:textId="77777777" w:rsidTr="008F6FC3">
        <w:trPr>
          <w:trHeight w:val="276"/>
        </w:trPr>
        <w:tc>
          <w:tcPr>
            <w:tcW w:w="9498" w:type="dxa"/>
            <w:tcBorders>
              <w:top w:val="nil"/>
              <w:left w:val="nil"/>
              <w:bottom w:val="nil"/>
              <w:right w:val="nil"/>
            </w:tcBorders>
            <w:shd w:val="clear" w:color="auto" w:fill="auto"/>
            <w:noWrap/>
            <w:vAlign w:val="bottom"/>
            <w:hideMark/>
          </w:tcPr>
          <w:p w14:paraId="63966454" w14:textId="77777777" w:rsidR="00C0727D" w:rsidRPr="00C0727D" w:rsidRDefault="00C0727D" w:rsidP="00C0727D">
            <w:pPr>
              <w:rPr>
                <w:rFonts w:ascii="Times New Roman" w:hAnsi="Times New Roman"/>
                <w:i/>
                <w:iCs/>
                <w:sz w:val="24"/>
                <w:szCs w:val="24"/>
                <w:lang w:eastAsia="en-US"/>
              </w:rPr>
            </w:pPr>
            <w:r w:rsidRPr="00C0727D">
              <w:rPr>
                <w:rFonts w:ascii="Times New Roman" w:hAnsi="Times New Roman"/>
                <w:i/>
                <w:iCs/>
                <w:sz w:val="24"/>
                <w:szCs w:val="24"/>
                <w:lang w:eastAsia="en-US"/>
              </w:rPr>
              <w:t>Šis dokuments ir elektroniski parakstīts ar drošu elektronisko parakstu un satur laika zīmogu.</w:t>
            </w:r>
          </w:p>
        </w:tc>
      </w:tr>
    </w:tbl>
    <w:p w14:paraId="6910F968" w14:textId="77777777" w:rsidR="00C0727D" w:rsidRDefault="00C0727D" w:rsidP="00BE7F46">
      <w:pPr>
        <w:pStyle w:val="BodyText"/>
        <w:spacing w:before="0" w:after="0"/>
        <w:rPr>
          <w:rFonts w:ascii="Times New Roman" w:hAnsi="Times New Roman"/>
          <w:lang w:val="lv-LV"/>
        </w:rPr>
      </w:pPr>
    </w:p>
    <w:p w14:paraId="62497795" w14:textId="77777777" w:rsidR="00BE7F46" w:rsidRDefault="00BE7F46" w:rsidP="00BE7F46">
      <w:pPr>
        <w:pStyle w:val="BodyText"/>
        <w:spacing w:before="0" w:after="0"/>
        <w:rPr>
          <w:rFonts w:ascii="Times New Roman" w:hAnsi="Times New Roman"/>
          <w:lang w:val="lv-LV"/>
        </w:rPr>
      </w:pPr>
    </w:p>
    <w:p w14:paraId="377D6F43" w14:textId="77777777" w:rsidR="00BE7F46" w:rsidRDefault="00BE7F46" w:rsidP="00BE7F46">
      <w:pPr>
        <w:pStyle w:val="BodyText"/>
        <w:spacing w:before="0" w:after="0"/>
        <w:jc w:val="right"/>
        <w:rPr>
          <w:rFonts w:ascii="Times New Roman" w:hAnsi="Times New Roman"/>
          <w:lang w:val="lv-LV"/>
        </w:rPr>
      </w:pPr>
    </w:p>
    <w:p w14:paraId="0BCC33EF" w14:textId="77777777" w:rsidR="00974FAA" w:rsidRPr="00283265" w:rsidRDefault="00974FAA" w:rsidP="00974FAA">
      <w:pPr>
        <w:pStyle w:val="BodyText"/>
        <w:spacing w:before="0" w:after="0"/>
        <w:jc w:val="right"/>
        <w:rPr>
          <w:rFonts w:ascii="Times New Roman" w:hAnsi="Times New Roman"/>
        </w:rPr>
      </w:pPr>
      <w:r>
        <w:rPr>
          <w:rFonts w:ascii="Times New Roman" w:hAnsi="Times New Roman"/>
          <w:lang w:val="lv-LV"/>
        </w:rPr>
        <w:t>2</w:t>
      </w:r>
    </w:p>
    <w:sectPr w:rsidR="00974FAA" w:rsidRPr="00283265" w:rsidSect="004256E1">
      <w:pgSz w:w="11906" w:h="16838"/>
      <w:pgMar w:top="810" w:right="1016" w:bottom="9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CDF5" w14:textId="77777777" w:rsidR="006B5D62" w:rsidRDefault="006B5D62" w:rsidP="008D616E">
      <w:r>
        <w:separator/>
      </w:r>
    </w:p>
  </w:endnote>
  <w:endnote w:type="continuationSeparator" w:id="0">
    <w:p w14:paraId="0D4E51F8" w14:textId="77777777" w:rsidR="006B5D62" w:rsidRDefault="006B5D62" w:rsidP="008D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Univers for KPMG Light">
    <w:altName w:val="Corbel"/>
    <w:charset w:val="BA"/>
    <w:family w:val="swiss"/>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B39A" w14:textId="77777777" w:rsidR="006B5D62" w:rsidRDefault="006B5D62" w:rsidP="008D616E">
      <w:r>
        <w:separator/>
      </w:r>
    </w:p>
  </w:footnote>
  <w:footnote w:type="continuationSeparator" w:id="0">
    <w:p w14:paraId="2A511324" w14:textId="77777777" w:rsidR="006B5D62" w:rsidRDefault="006B5D62" w:rsidP="008D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A3B04"/>
    <w:multiLevelType w:val="hybridMultilevel"/>
    <w:tmpl w:val="AFC00F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3" w15:restartNumberingAfterBreak="0">
    <w:nsid w:val="3D506EFD"/>
    <w:multiLevelType w:val="hybridMultilevel"/>
    <w:tmpl w:val="5C52498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 w15:restartNumberingAfterBreak="0">
    <w:nsid w:val="4B4D1600"/>
    <w:multiLevelType w:val="hybridMultilevel"/>
    <w:tmpl w:val="61F2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16cid:durableId="1247611985">
    <w:abstractNumId w:val="4"/>
  </w:num>
  <w:num w:numId="2" w16cid:durableId="1739789224">
    <w:abstractNumId w:val="0"/>
  </w:num>
  <w:num w:numId="3" w16cid:durableId="1704868650">
    <w:abstractNumId w:val="1"/>
  </w:num>
  <w:num w:numId="4" w16cid:durableId="77026584">
    <w:abstractNumId w:val="2"/>
  </w:num>
  <w:num w:numId="5" w16cid:durableId="1939214029">
    <w:abstractNumId w:val="5"/>
  </w:num>
  <w:num w:numId="6" w16cid:durableId="471465">
    <w:abstractNumId w:val="3"/>
  </w:num>
  <w:num w:numId="7" w16cid:durableId="1979996063">
    <w:abstractNumId w:val="2"/>
  </w:num>
  <w:num w:numId="8" w16cid:durableId="1685858906">
    <w:abstractNumId w:val="0"/>
  </w:num>
  <w:num w:numId="9" w16cid:durableId="2143380741">
    <w:abstractNumId w:val="5"/>
  </w:num>
  <w:num w:numId="10" w16cid:durableId="1642808544">
    <w:abstractNumId w:val="2"/>
  </w:num>
  <w:num w:numId="11" w16cid:durableId="345406703">
    <w:abstractNumId w:val="3"/>
  </w:num>
  <w:num w:numId="12" w16cid:durableId="204681502">
    <w:abstractNumId w:val="0"/>
  </w:num>
  <w:num w:numId="13" w16cid:durableId="1420826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22"/>
    <w:rsid w:val="00006026"/>
    <w:rsid w:val="000308BA"/>
    <w:rsid w:val="000550D5"/>
    <w:rsid w:val="000724A2"/>
    <w:rsid w:val="00073363"/>
    <w:rsid w:val="0009008E"/>
    <w:rsid w:val="000E6123"/>
    <w:rsid w:val="0010286D"/>
    <w:rsid w:val="001108C7"/>
    <w:rsid w:val="00111A92"/>
    <w:rsid w:val="00115874"/>
    <w:rsid w:val="00164097"/>
    <w:rsid w:val="001A74D9"/>
    <w:rsid w:val="001D05F2"/>
    <w:rsid w:val="001E65FC"/>
    <w:rsid w:val="002153D8"/>
    <w:rsid w:val="00216357"/>
    <w:rsid w:val="002350A0"/>
    <w:rsid w:val="00283265"/>
    <w:rsid w:val="00284089"/>
    <w:rsid w:val="0029371A"/>
    <w:rsid w:val="002B3050"/>
    <w:rsid w:val="002C3672"/>
    <w:rsid w:val="002D3D04"/>
    <w:rsid w:val="002F3561"/>
    <w:rsid w:val="00356D78"/>
    <w:rsid w:val="00381533"/>
    <w:rsid w:val="0039391E"/>
    <w:rsid w:val="003B48AF"/>
    <w:rsid w:val="003B7202"/>
    <w:rsid w:val="003C6F8C"/>
    <w:rsid w:val="003E33A2"/>
    <w:rsid w:val="004025AE"/>
    <w:rsid w:val="00421BCF"/>
    <w:rsid w:val="004256E1"/>
    <w:rsid w:val="00450327"/>
    <w:rsid w:val="00475D13"/>
    <w:rsid w:val="004B3D61"/>
    <w:rsid w:val="005054A8"/>
    <w:rsid w:val="0051249C"/>
    <w:rsid w:val="00523D0C"/>
    <w:rsid w:val="00525FDD"/>
    <w:rsid w:val="00543D21"/>
    <w:rsid w:val="00567F89"/>
    <w:rsid w:val="00570A03"/>
    <w:rsid w:val="005A4A3D"/>
    <w:rsid w:val="005C146D"/>
    <w:rsid w:val="005C2E4C"/>
    <w:rsid w:val="005D428A"/>
    <w:rsid w:val="00615063"/>
    <w:rsid w:val="0063288E"/>
    <w:rsid w:val="006406A0"/>
    <w:rsid w:val="0067412F"/>
    <w:rsid w:val="0068167C"/>
    <w:rsid w:val="00683BC5"/>
    <w:rsid w:val="00683C4D"/>
    <w:rsid w:val="006A1F12"/>
    <w:rsid w:val="006B5D62"/>
    <w:rsid w:val="006C30C9"/>
    <w:rsid w:val="006E14E2"/>
    <w:rsid w:val="007147DF"/>
    <w:rsid w:val="00724BF8"/>
    <w:rsid w:val="00740FF3"/>
    <w:rsid w:val="007732A4"/>
    <w:rsid w:val="00774D33"/>
    <w:rsid w:val="00833501"/>
    <w:rsid w:val="008619AE"/>
    <w:rsid w:val="008D616E"/>
    <w:rsid w:val="009275F1"/>
    <w:rsid w:val="00952036"/>
    <w:rsid w:val="00974FAA"/>
    <w:rsid w:val="009840FB"/>
    <w:rsid w:val="009C3840"/>
    <w:rsid w:val="00A155F1"/>
    <w:rsid w:val="00A259E2"/>
    <w:rsid w:val="00A26547"/>
    <w:rsid w:val="00A519E2"/>
    <w:rsid w:val="00A7565A"/>
    <w:rsid w:val="00A84657"/>
    <w:rsid w:val="00A93365"/>
    <w:rsid w:val="00A93AF4"/>
    <w:rsid w:val="00A95FB3"/>
    <w:rsid w:val="00AE7CA2"/>
    <w:rsid w:val="00B00924"/>
    <w:rsid w:val="00B3122E"/>
    <w:rsid w:val="00B40CB3"/>
    <w:rsid w:val="00B53BE3"/>
    <w:rsid w:val="00B56F8B"/>
    <w:rsid w:val="00B739DB"/>
    <w:rsid w:val="00B73DD3"/>
    <w:rsid w:val="00BA6C0D"/>
    <w:rsid w:val="00BA6C43"/>
    <w:rsid w:val="00BB1F14"/>
    <w:rsid w:val="00BD44BD"/>
    <w:rsid w:val="00BE7F46"/>
    <w:rsid w:val="00BF1995"/>
    <w:rsid w:val="00C0727D"/>
    <w:rsid w:val="00C2353E"/>
    <w:rsid w:val="00C30EED"/>
    <w:rsid w:val="00C441B0"/>
    <w:rsid w:val="00C4571E"/>
    <w:rsid w:val="00C611FB"/>
    <w:rsid w:val="00CB7A67"/>
    <w:rsid w:val="00CC0C5A"/>
    <w:rsid w:val="00CE1DD3"/>
    <w:rsid w:val="00CF6E70"/>
    <w:rsid w:val="00DB03D8"/>
    <w:rsid w:val="00DB148B"/>
    <w:rsid w:val="00DF526B"/>
    <w:rsid w:val="00E15AC9"/>
    <w:rsid w:val="00E214AC"/>
    <w:rsid w:val="00E34D22"/>
    <w:rsid w:val="00E42B80"/>
    <w:rsid w:val="00E4430C"/>
    <w:rsid w:val="00E50C77"/>
    <w:rsid w:val="00E535FD"/>
    <w:rsid w:val="00E66882"/>
    <w:rsid w:val="00E8309C"/>
    <w:rsid w:val="00E8552E"/>
    <w:rsid w:val="00EA6019"/>
    <w:rsid w:val="00EB10CE"/>
    <w:rsid w:val="00ED525E"/>
    <w:rsid w:val="00EE1E48"/>
    <w:rsid w:val="00EF2F05"/>
    <w:rsid w:val="00EF5C4E"/>
    <w:rsid w:val="00F02855"/>
    <w:rsid w:val="00F426D2"/>
    <w:rsid w:val="00F62948"/>
    <w:rsid w:val="00F674D2"/>
    <w:rsid w:val="00F82BA2"/>
    <w:rsid w:val="00F96195"/>
    <w:rsid w:val="00FA5279"/>
    <w:rsid w:val="00FB5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D926"/>
  <w15:docId w15:val="{7DA74565-2120-4789-B63A-27893B73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22"/>
    <w:rPr>
      <w:rFonts w:ascii="Arial Narrow" w:eastAsia="Times New Roman" w:hAnsi="Arial Narrow"/>
    </w:rPr>
  </w:style>
  <w:style w:type="paragraph" w:styleId="Heading3">
    <w:name w:val="heading 3"/>
    <w:basedOn w:val="Normal"/>
    <w:next w:val="BodyText"/>
    <w:link w:val="Heading3Char"/>
    <w:qFormat/>
    <w:rsid w:val="002F3561"/>
    <w:pPr>
      <w:keepNext/>
      <w:spacing w:before="240"/>
      <w:jc w:val="both"/>
      <w:outlineLvl w:val="2"/>
    </w:pPr>
    <w:rPr>
      <w:rFonts w:ascii="Univers for KPMG Light" w:hAnsi="Univers for KPMG Light"/>
      <w:i/>
      <w:i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8AF"/>
    <w:pPr>
      <w:tabs>
        <w:tab w:val="center" w:pos="4680"/>
        <w:tab w:val="right" w:pos="9360"/>
      </w:tabs>
    </w:pPr>
  </w:style>
  <w:style w:type="character" w:customStyle="1" w:styleId="HeaderChar">
    <w:name w:val="Header Char"/>
    <w:link w:val="Header"/>
    <w:uiPriority w:val="99"/>
    <w:rsid w:val="003B48AF"/>
    <w:rPr>
      <w:rFonts w:ascii="Arial Narrow" w:eastAsia="Times New Roman" w:hAnsi="Arial Narrow"/>
    </w:rPr>
  </w:style>
  <w:style w:type="paragraph" w:styleId="BalloonText">
    <w:name w:val="Balloon Text"/>
    <w:basedOn w:val="Normal"/>
    <w:link w:val="BalloonTextChar"/>
    <w:uiPriority w:val="99"/>
    <w:semiHidden/>
    <w:unhideWhenUsed/>
    <w:rsid w:val="00A93AF4"/>
    <w:rPr>
      <w:rFonts w:ascii="Segoe UI" w:hAnsi="Segoe UI" w:cs="Segoe UI"/>
      <w:sz w:val="18"/>
      <w:szCs w:val="18"/>
    </w:rPr>
  </w:style>
  <w:style w:type="character" w:customStyle="1" w:styleId="BalloonTextChar">
    <w:name w:val="Balloon Text Char"/>
    <w:link w:val="BalloonText"/>
    <w:uiPriority w:val="99"/>
    <w:semiHidden/>
    <w:rsid w:val="00A93AF4"/>
    <w:rPr>
      <w:rFonts w:ascii="Segoe UI" w:eastAsia="Times New Roman" w:hAnsi="Segoe UI" w:cs="Segoe UI"/>
      <w:sz w:val="18"/>
      <w:szCs w:val="18"/>
    </w:rPr>
  </w:style>
  <w:style w:type="paragraph" w:customStyle="1" w:styleId="KAMKNormal">
    <w:name w:val="KAMKNormal"/>
    <w:basedOn w:val="Normal"/>
    <w:link w:val="KAMKNormalChar"/>
    <w:qFormat/>
    <w:rsid w:val="00BA6C0D"/>
    <w:pPr>
      <w:spacing w:before="120" w:after="120"/>
    </w:pPr>
    <w:rPr>
      <w:rFonts w:ascii="Tahoma" w:hAnsi="Tahoma"/>
      <w:color w:val="000000"/>
      <w:sz w:val="22"/>
      <w:szCs w:val="24"/>
      <w:lang w:eastAsia="en-US"/>
    </w:rPr>
  </w:style>
  <w:style w:type="character" w:customStyle="1" w:styleId="KAMKNormalChar">
    <w:name w:val="KAMKNormal Char"/>
    <w:link w:val="KAMKNormal"/>
    <w:rsid w:val="00BA6C0D"/>
    <w:rPr>
      <w:rFonts w:ascii="Tahoma" w:eastAsia="Times New Roman" w:hAnsi="Tahoma"/>
      <w:color w:val="000000"/>
      <w:sz w:val="22"/>
      <w:szCs w:val="24"/>
      <w:lang w:eastAsia="en-US"/>
    </w:rPr>
  </w:style>
  <w:style w:type="table" w:styleId="TableGrid">
    <w:name w:val="Table Grid"/>
    <w:basedOn w:val="TableNormal"/>
    <w:rsid w:val="00BA6C0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ormal">
    <w:name w:val="RNormal"/>
    <w:basedOn w:val="Normal"/>
    <w:rsid w:val="00A155F1"/>
    <w:pPr>
      <w:jc w:val="both"/>
    </w:pPr>
    <w:rPr>
      <w:rFonts w:ascii="Times New Roman" w:hAnsi="Times New Roman"/>
      <w:sz w:val="22"/>
      <w:szCs w:val="24"/>
      <w:lang w:eastAsia="en-US"/>
    </w:rPr>
  </w:style>
  <w:style w:type="paragraph" w:styleId="ListParagraph">
    <w:name w:val="List Paragraph"/>
    <w:basedOn w:val="Normal"/>
    <w:uiPriority w:val="34"/>
    <w:qFormat/>
    <w:rsid w:val="00A155F1"/>
    <w:pPr>
      <w:ind w:left="720"/>
    </w:pPr>
  </w:style>
  <w:style w:type="character" w:customStyle="1" w:styleId="Heading3Char">
    <w:name w:val="Heading 3 Char"/>
    <w:basedOn w:val="DefaultParagraphFont"/>
    <w:link w:val="Heading3"/>
    <w:rsid w:val="002F3561"/>
    <w:rPr>
      <w:rFonts w:ascii="Univers for KPMG Light" w:eastAsia="Times New Roman" w:hAnsi="Univers for KPMG Light"/>
      <w:i/>
      <w:iCs/>
      <w:szCs w:val="22"/>
      <w:lang w:val="en-US" w:eastAsia="en-US"/>
    </w:rPr>
  </w:style>
  <w:style w:type="paragraph" w:styleId="BodyText">
    <w:name w:val="Body Text"/>
    <w:basedOn w:val="Normal"/>
    <w:link w:val="BodyTextChar"/>
    <w:qFormat/>
    <w:rsid w:val="002F3561"/>
    <w:pPr>
      <w:spacing w:before="120" w:after="120"/>
      <w:jc w:val="both"/>
    </w:pPr>
    <w:rPr>
      <w:rFonts w:ascii="Univers for KPMG Light" w:hAnsi="Univers for KPMG Light"/>
      <w:lang w:val="en-GB" w:eastAsia="en-US"/>
    </w:rPr>
  </w:style>
  <w:style w:type="character" w:customStyle="1" w:styleId="BodyTextChar">
    <w:name w:val="Body Text Char"/>
    <w:basedOn w:val="DefaultParagraphFont"/>
    <w:link w:val="BodyText"/>
    <w:rsid w:val="002F3561"/>
    <w:rPr>
      <w:rFonts w:ascii="Univers for KPMG Light" w:eastAsia="Times New Roman" w:hAnsi="Univers for KPMG Light"/>
      <w:lang w:val="en-GB" w:eastAsia="en-US"/>
    </w:rPr>
  </w:style>
  <w:style w:type="character" w:styleId="CommentReference">
    <w:name w:val="annotation reference"/>
    <w:basedOn w:val="DefaultParagraphFont"/>
    <w:semiHidden/>
    <w:unhideWhenUsed/>
    <w:rsid w:val="002F3561"/>
    <w:rPr>
      <w:sz w:val="16"/>
      <w:szCs w:val="16"/>
    </w:rPr>
  </w:style>
  <w:style w:type="paragraph" w:styleId="CommentText">
    <w:name w:val="annotation text"/>
    <w:basedOn w:val="Normal"/>
    <w:link w:val="CommentTextChar"/>
    <w:unhideWhenUsed/>
    <w:rsid w:val="002F3561"/>
    <w:rPr>
      <w:rFonts w:ascii="Times New Roman" w:hAnsi="Times New Roman"/>
      <w:lang w:eastAsia="en-US"/>
    </w:rPr>
  </w:style>
  <w:style w:type="character" w:customStyle="1" w:styleId="CommentTextChar">
    <w:name w:val="Comment Text Char"/>
    <w:basedOn w:val="DefaultParagraphFont"/>
    <w:link w:val="CommentText"/>
    <w:rsid w:val="002F3561"/>
    <w:rPr>
      <w:rFonts w:ascii="Times New Roman" w:eastAsia="Times New Roman" w:hAnsi="Times New Roman"/>
      <w:lang w:eastAsia="en-US"/>
    </w:rPr>
  </w:style>
  <w:style w:type="paragraph" w:styleId="Footer">
    <w:name w:val="footer"/>
    <w:basedOn w:val="Normal"/>
    <w:link w:val="FooterChar"/>
    <w:uiPriority w:val="99"/>
    <w:unhideWhenUsed/>
    <w:rsid w:val="008D616E"/>
    <w:pPr>
      <w:tabs>
        <w:tab w:val="center" w:pos="4153"/>
        <w:tab w:val="right" w:pos="8306"/>
      </w:tabs>
    </w:pPr>
  </w:style>
  <w:style w:type="character" w:customStyle="1" w:styleId="FooterChar">
    <w:name w:val="Footer Char"/>
    <w:basedOn w:val="DefaultParagraphFont"/>
    <w:link w:val="Footer"/>
    <w:uiPriority w:val="99"/>
    <w:rsid w:val="008D616E"/>
    <w:rPr>
      <w:rFonts w:ascii="Arial Narrow" w:eastAsia="Times New Roman"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79799">
      <w:bodyDiv w:val="1"/>
      <w:marLeft w:val="0"/>
      <w:marRight w:val="0"/>
      <w:marTop w:val="0"/>
      <w:marBottom w:val="0"/>
      <w:divBdr>
        <w:top w:val="none" w:sz="0" w:space="0" w:color="auto"/>
        <w:left w:val="none" w:sz="0" w:space="0" w:color="auto"/>
        <w:bottom w:val="none" w:sz="0" w:space="0" w:color="auto"/>
        <w:right w:val="none" w:sz="0" w:space="0" w:color="auto"/>
      </w:divBdr>
    </w:div>
    <w:div w:id="14325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7086</Characters>
  <Application>Microsoft Office Word</Application>
  <DocSecurity>0</DocSecurity>
  <Lines>59</Lines>
  <Paragraphs>16</Paragraphs>
  <ScaleCrop>false</ScaleCrop>
  <HeadingPairs>
    <vt:vector size="6" baseType="variant">
      <vt:variant>
        <vt:lpstr>Nosaukums</vt:lpstr>
      </vt:variant>
      <vt:variant>
        <vt:i4>1</vt:i4>
      </vt:variant>
      <vt:variant>
        <vt:lpstr>Virsraksti</vt:lpstr>
      </vt:variant>
      <vt:variant>
        <vt:i4>4</vt:i4>
      </vt:variant>
      <vt:variant>
        <vt:lpstr>Title</vt:lpstr>
      </vt:variant>
      <vt:variant>
        <vt:i4>1</vt:i4>
      </vt:variant>
    </vt:vector>
  </HeadingPairs>
  <TitlesOfParts>
    <vt:vector size="6" baseType="lpstr">
      <vt:lpstr/>
      <vt:lpstr>        Mūsu atzinums par finanšu pārskatu</vt:lpstr>
      <vt:lpstr>        Atzinuma pamatojums</vt:lpstr>
      <vt:lpstr>        Ziņošana par citu informāciju</vt:lpstr>
      <vt:lpstr>        Revidenta atbildība par finanšu pārskata revīziju </vt:lpstr>
      <vt:lpstr/>
    </vt:vector>
  </TitlesOfParts>
  <Company>Hewlett-Packard Company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Sintija Biša</cp:lastModifiedBy>
  <cp:revision>2</cp:revision>
  <cp:lastPrinted>2020-02-24T14:08:00Z</cp:lastPrinted>
  <dcterms:created xsi:type="dcterms:W3CDTF">2022-05-02T10:47:00Z</dcterms:created>
  <dcterms:modified xsi:type="dcterms:W3CDTF">2022-05-02T10:47:00Z</dcterms:modified>
</cp:coreProperties>
</file>