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25" w:rsidRPr="009D6725" w:rsidRDefault="009D6725" w:rsidP="009D6725">
      <w:pPr>
        <w:spacing w:after="0" w:line="240" w:lineRule="auto"/>
        <w:jc w:val="center"/>
        <w:rPr>
          <w:rFonts w:ascii="Times New Roman" w:eastAsia="Times New Roman" w:hAnsi="Times New Roman" w:cs="Times New Roman"/>
          <w:b/>
          <w:bCs/>
          <w:color w:val="414142"/>
          <w:sz w:val="27"/>
          <w:szCs w:val="27"/>
          <w:lang w:eastAsia="lv-LV"/>
        </w:rPr>
      </w:pPr>
      <w:bookmarkStart w:id="0" w:name="674674"/>
      <w:bookmarkStart w:id="1" w:name="n-674674"/>
      <w:bookmarkEnd w:id="0"/>
      <w:bookmarkEnd w:id="1"/>
      <w:r w:rsidRPr="009D6725">
        <w:rPr>
          <w:rFonts w:ascii="Times New Roman" w:eastAsia="Times New Roman" w:hAnsi="Times New Roman" w:cs="Times New Roman"/>
          <w:b/>
          <w:bCs/>
          <w:color w:val="414142"/>
          <w:sz w:val="27"/>
          <w:szCs w:val="27"/>
          <w:lang w:eastAsia="lv-LV"/>
        </w:rPr>
        <w:t>LĪGUMS PAR LIEPĀJAS PAŠVALDĪBAS LĪDZFINANSĒJUMU BĒRNU UZRAUDZĪBAS PAKALPOJUMA SNIEDZĒJAM Nr.</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153"/>
        <w:gridCol w:w="4153"/>
      </w:tblGrid>
      <w:tr w:rsidR="009D6725" w:rsidRPr="009D6725" w:rsidTr="009D6725">
        <w:tc>
          <w:tcPr>
            <w:tcW w:w="2500" w:type="pct"/>
            <w:tcBorders>
              <w:top w:val="nil"/>
              <w:left w:val="nil"/>
              <w:bottom w:val="nil"/>
              <w:right w:val="nil"/>
            </w:tcBorders>
            <w:shd w:val="clear" w:color="auto" w:fill="FFFFFF"/>
            <w:hideMark/>
          </w:tcPr>
          <w:p w:rsidR="009D6725" w:rsidRPr="009D6725" w:rsidRDefault="009D6725" w:rsidP="009D6725">
            <w:pPr>
              <w:spacing w:after="0" w:line="240" w:lineRule="auto"/>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Liepājā</w:t>
            </w:r>
          </w:p>
        </w:tc>
        <w:tc>
          <w:tcPr>
            <w:tcW w:w="2500" w:type="pct"/>
            <w:tcBorders>
              <w:top w:val="nil"/>
              <w:left w:val="nil"/>
              <w:bottom w:val="nil"/>
              <w:right w:val="nil"/>
            </w:tcBorders>
            <w:shd w:val="clear" w:color="auto" w:fill="FFFFFF"/>
            <w:hideMark/>
          </w:tcPr>
          <w:p w:rsidR="009D6725" w:rsidRPr="009D6725" w:rsidRDefault="009D6725" w:rsidP="009D6725">
            <w:pPr>
              <w:spacing w:after="0" w:line="240" w:lineRule="auto"/>
              <w:jc w:val="right"/>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w:t>
            </w:r>
            <w:r w:rsidRPr="009D6725">
              <w:rPr>
                <w:rFonts w:ascii="Arial" w:eastAsia="Times New Roman" w:hAnsi="Arial" w:cs="Arial"/>
                <w:b/>
                <w:bCs/>
                <w:color w:val="414142"/>
                <w:sz w:val="20"/>
                <w:szCs w:val="20"/>
                <w:bdr w:val="none" w:sz="0" w:space="0" w:color="auto" w:frame="1"/>
                <w:lang w:eastAsia="lv-LV"/>
              </w:rPr>
              <w:t>gada</w:t>
            </w:r>
          </w:p>
        </w:tc>
      </w:tr>
    </w:tbl>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b/>
          <w:bCs/>
          <w:color w:val="414142"/>
          <w:sz w:val="20"/>
          <w:szCs w:val="20"/>
          <w:bdr w:val="none" w:sz="0" w:space="0" w:color="auto" w:frame="1"/>
          <w:lang w:eastAsia="lv-LV"/>
        </w:rPr>
        <w:t>Liepājas pilsētas pašvaldības iestāde "Liepājas pilsētas Izglītības pārvalde"</w:t>
      </w:r>
      <w:r w:rsidRPr="009D6725">
        <w:rPr>
          <w:rFonts w:ascii="Arial" w:eastAsia="Times New Roman" w:hAnsi="Arial" w:cs="Arial"/>
          <w:color w:val="414142"/>
          <w:sz w:val="20"/>
          <w:szCs w:val="20"/>
          <w:lang w:eastAsia="lv-LV"/>
        </w:rPr>
        <w:t> (turpmāk arī – pašvaldība), </w:t>
      </w:r>
      <w:r w:rsidRPr="009D6725">
        <w:rPr>
          <w:rFonts w:ascii="Arial" w:eastAsia="Times New Roman" w:hAnsi="Arial" w:cs="Arial"/>
          <w:b/>
          <w:bCs/>
          <w:color w:val="414142"/>
          <w:sz w:val="20"/>
          <w:szCs w:val="20"/>
          <w:bdr w:val="none" w:sz="0" w:space="0" w:color="auto" w:frame="1"/>
          <w:lang w:eastAsia="lv-LV"/>
        </w:rPr>
        <w:t>tās vadītājas</w:t>
      </w:r>
      <w:r w:rsidRPr="009D6725">
        <w:rPr>
          <w:rFonts w:ascii="Arial" w:eastAsia="Times New Roman" w:hAnsi="Arial" w:cs="Arial"/>
          <w:color w:val="414142"/>
          <w:sz w:val="20"/>
          <w:szCs w:val="20"/>
          <w:lang w:eastAsia="lv-LV"/>
        </w:rPr>
        <w:t> …….. personā, kura rīkojas saskaņā ar Liepājas pilsētas domes 2016.gada 19.maija saistošajiem noteikumiem Nr.10 "SAISTOŠIE </w:t>
      </w:r>
      <w:hyperlink r:id="rId4" w:tgtFrame="_blank" w:history="1">
        <w:r w:rsidRPr="00725464">
          <w:rPr>
            <w:rFonts w:ascii="Arial" w:eastAsia="Times New Roman" w:hAnsi="Arial" w:cs="Arial"/>
            <w:color w:val="595959" w:themeColor="text1" w:themeTint="A6"/>
            <w:sz w:val="20"/>
            <w:szCs w:val="20"/>
            <w:lang w:eastAsia="lv-LV"/>
          </w:rPr>
          <w:t>NOTEIKUM</w:t>
        </w:r>
        <w:r w:rsidRPr="00725464">
          <w:rPr>
            <w:rFonts w:ascii="Arial" w:eastAsia="Times New Roman" w:hAnsi="Arial" w:cs="Arial"/>
            <w:sz w:val="20"/>
            <w:szCs w:val="20"/>
            <w:lang w:eastAsia="lv-LV"/>
          </w:rPr>
          <w:t>I</w:t>
        </w:r>
      </w:hyperlink>
      <w:r w:rsidRPr="009D6725">
        <w:rPr>
          <w:rFonts w:ascii="Arial" w:eastAsia="Times New Roman" w:hAnsi="Arial" w:cs="Arial"/>
          <w:color w:val="414142"/>
          <w:sz w:val="20"/>
          <w:szCs w:val="20"/>
          <w:lang w:eastAsia="lv-LV"/>
        </w:rPr>
        <w:t> PAR PAŠVALDĪBAS LĪDZFINANSĒJUMU PRIVĀTAJAM BĒRNU UZRAUDZĪBAS PAKALPOJUMA SNIEDZĒJAM" un, ……………………….., (turpmāk – aukle) personas kods ………………., deklarētā dzīvesvieta …………………….……… un …………………..…….., personas kods ………..………………., deklarētā dzīvesvieta ……………………….. (turpmāk – vecāks), līdzēji (saukti atsevišķi arī – puse, kopā – puses) noslēdz šādu līgumu (turpmāk – līgums)</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1. LĪGUMA PRIEKŠMETS</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Pašvaldība apņemas ……… gadā sniegt līdzfinansējumu bērna uzraudzības pakalpojuma sniegšanā, kurā aukle sniedz bērna uzraudzības un izglītošanas pakalpojumu …………………….…….., bērnam …………………..………., personas kods ………………………., deklarētā dzīvesvieta ……………………………….., (turpmāk – pašvaldības līdzfinansējums).</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2. LĪDZFINANSĒŠANAS NOSACĪJUMI</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2.1. Pašvaldības līdzfinansējums ir 100,00 EUR mēnesī, kurā nav iekļauta bērna ēdināšana.</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2.2. Pamatojoties uz Liepājas pi</w:t>
      </w:r>
      <w:r w:rsidR="00E44D8E">
        <w:rPr>
          <w:rFonts w:ascii="Arial" w:eastAsia="Times New Roman" w:hAnsi="Arial" w:cs="Arial"/>
          <w:color w:val="414142"/>
          <w:sz w:val="20"/>
          <w:szCs w:val="20"/>
          <w:lang w:eastAsia="lv-LV"/>
        </w:rPr>
        <w:t>lsētas domes 2018</w:t>
      </w:r>
      <w:r w:rsidRPr="009D6725">
        <w:rPr>
          <w:rFonts w:ascii="Arial" w:eastAsia="Times New Roman" w:hAnsi="Arial" w:cs="Arial"/>
          <w:color w:val="414142"/>
          <w:sz w:val="20"/>
          <w:szCs w:val="20"/>
          <w:lang w:eastAsia="lv-LV"/>
        </w:rPr>
        <w:t xml:space="preserve">. gada </w:t>
      </w:r>
      <w:r w:rsidR="00E44D8E">
        <w:rPr>
          <w:rFonts w:ascii="Arial" w:eastAsia="Times New Roman" w:hAnsi="Arial" w:cs="Arial"/>
          <w:color w:val="414142"/>
          <w:sz w:val="20"/>
          <w:szCs w:val="20"/>
          <w:lang w:eastAsia="lv-LV"/>
        </w:rPr>
        <w:t>20.decembra saistošajiem noteikumiem Nr. 33</w:t>
      </w:r>
      <w:r w:rsidRPr="009D6725">
        <w:rPr>
          <w:rFonts w:ascii="Arial" w:eastAsia="Times New Roman" w:hAnsi="Arial" w:cs="Arial"/>
          <w:color w:val="414142"/>
          <w:sz w:val="20"/>
          <w:szCs w:val="20"/>
          <w:lang w:eastAsia="lv-LV"/>
        </w:rPr>
        <w:t xml:space="preserve"> "PAR LIEPĀJAS P</w:t>
      </w:r>
      <w:r w:rsidR="00E44D8E">
        <w:rPr>
          <w:rFonts w:ascii="Arial" w:eastAsia="Times New Roman" w:hAnsi="Arial" w:cs="Arial"/>
          <w:color w:val="414142"/>
          <w:sz w:val="20"/>
          <w:szCs w:val="20"/>
          <w:lang w:eastAsia="lv-LV"/>
        </w:rPr>
        <w:t>ILSĒTAS PAŠVALDĪBAS BUDŽETU 2019.</w:t>
      </w:r>
      <w:r w:rsidRPr="009D6725">
        <w:rPr>
          <w:rFonts w:ascii="Arial" w:eastAsia="Times New Roman" w:hAnsi="Arial" w:cs="Arial"/>
          <w:color w:val="414142"/>
          <w:sz w:val="20"/>
          <w:szCs w:val="20"/>
          <w:lang w:eastAsia="lv-LV"/>
        </w:rPr>
        <w:t xml:space="preserve"> GADAM", pašvaldības budžeta ieņēmumu daļas neizpildes gadījumā, pašvaldības atbalsts tiek samazināts proporcionāli pašvaldības ieņēmumu samazinājumam, par to informējot pārējās puses līdz katra mēneša 15.datumam.</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2.3. Vecāks nekavējoties informē pašvaldību, ja tiek mainīta vecāka un/vai bērna dzīvesvieta.</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3. NORĒĶINU KĀRTĪBA</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3.1. Pašvaldības līdzfinansējums tiek ieskaitīts aukles norēķinu kontā kredītiestādē līdz mēneša 15.datumam par iepriekšējo mēnesi.</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3.2. Pašvaldības līdzfinansējums netiek piešķirts par dienām, kad bērns bez attaisnojoša iemesla nesaņem bērnu uzraudzības pakalpojumu. Šajā gadījumā pašvaldības līdzfinansējums tiek aprēķināts proporcionāli dienu skaitam, kad bērns saņēmis bērnu uzraudzības pakalpojumu. Par attaisnojošu iemeslu ir uzskatāma bērna prombūtne veselības stāvokļa dēļ, ko apliecina ģimenes ārsta izziņa.</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lastRenderedPageBreak/>
        <w:t>3.3. Pašvaldības līdzfinansējuma izmaksa tiek pārtraukta pēc 30 dienām no brīža, kad bērna likumiskajam pārstāvim rakstiski tiek piedāvāta vieta pašvaldības pirmsskolas izglītības iestādē, kuras rindā bērns ir reģistrēts (neatkarīgi no tā, vai bērns ir reģistrēts uzņemšanai vienā vai vairākās pirmsskolas izglītības iestādēs). Ja bērns tiek uzņemts pašvaldības pirmsskolas izglītības iestādē, pašvaldības līdzfinansējumu aprēķina proporcionāli dienu skaitam, kad bērns ir saņēmis aukles pakalpojumus vai nav tos saņēmis attaisnojoša iemesla dēļ. Līdzfinansējumu nepārtrauc, ja bērnam piedāvāta vieta pašvaldības pirmskolas izglītības iestādē, bet pamatojoties uz ārsta atzinumu bērns nevar apmeklēt pirmsskolas izglītības iestādi psiholoģiskās sagatavotības vai veselības stāvokļa dēļ.</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3.4. Aukle katru mēnesi līdz mēneša pēdējam datumam iesniedz pašvaldībai bērna vecāka parakstītu bērnu uzraudzības un izglītošanas pakalpojuma sniegšanas tabulu – atskaiti (</w:t>
      </w:r>
      <w:hyperlink r:id="rId5" w:anchor="piel0" w:history="1">
        <w:r w:rsidRPr="009D6725">
          <w:rPr>
            <w:rFonts w:ascii="Arial" w:eastAsia="Times New Roman" w:hAnsi="Arial" w:cs="Arial"/>
            <w:color w:val="16497B"/>
            <w:sz w:val="20"/>
            <w:szCs w:val="20"/>
            <w:lang w:eastAsia="lv-LV"/>
          </w:rPr>
          <w:t>pielikumā</w:t>
        </w:r>
      </w:hyperlink>
      <w:r w:rsidRPr="009D6725">
        <w:rPr>
          <w:rFonts w:ascii="Arial" w:eastAsia="Times New Roman" w:hAnsi="Arial" w:cs="Arial"/>
          <w:color w:val="414142"/>
          <w:sz w:val="20"/>
          <w:szCs w:val="20"/>
          <w:lang w:eastAsia="lv-LV"/>
        </w:rPr>
        <w:t>), kurā norādītas visas pakalpojuma sniegšanas mēneša dienas un stundas.</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3.5. Aukles pienākums ir atmaksāt pašvaldības līdzfinansējuma pārmaksu, ja tā izveidojusies sniedzot nepatiesu vai nepilnīgu informāciju. Aukle mēneša laikā pēc pašvaldības paziņojuma saņemšanas, atmaksā pārmaksātos līdzekļus paziņojumā norādītajā norēķinu kontā.</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4. NEPĀRVARAMĀ VARA</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4.1. Neviena puse nav atbildīga par savu saistību daļēju vai pilnīgu neizpildi, ja tas ir saistīts ar nepārvaramas varas apstākļiem (dabas katastrofas, karadarbība, valsts pārvaldes iestāžu lēmumi un citi notikumi), kas tieši ietekmē šā līguma izpildi un kas notikuši pēc līguma noslēgšanas, un to iestāšanās nav atkarīga no pušu gribas.</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4.2. Puse, kuras saistību izpilde kļūst neiespējama 4.1.punktā minēto apstākļu dēļ, 5 (piecu) dienu laikā brīdina otru pusi par augstāk minēto apstākļu iestāšanos, un puses vienojas par tālāko sadarbību.</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5. PUŠU ATBILDĪBA</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Puses par līgumsaistību neizpildi vai daļēju izpildi ir atbildīgas atbilstoši normatīvajiem aktiem.</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6. PAPILDUS </w:t>
      </w:r>
      <w:hyperlink r:id="rId6" w:tgtFrame="_blank" w:history="1">
        <w:r w:rsidRPr="00725464">
          <w:rPr>
            <w:rFonts w:ascii="Arial" w:eastAsia="Times New Roman" w:hAnsi="Arial" w:cs="Arial"/>
            <w:b/>
            <w:bCs/>
            <w:color w:val="595959" w:themeColor="text1" w:themeTint="A6"/>
            <w:sz w:val="20"/>
            <w:szCs w:val="20"/>
            <w:lang w:eastAsia="lv-LV"/>
          </w:rPr>
          <w:t>NOTEIKUMI</w:t>
        </w:r>
      </w:hyperlink>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6.1. Puses var rakstiski noslēgt papildu vienošanās, kas noformē</w:t>
      </w:r>
      <w:bookmarkStart w:id="2" w:name="_GoBack"/>
      <w:bookmarkEnd w:id="2"/>
      <w:r w:rsidRPr="009D6725">
        <w:rPr>
          <w:rFonts w:ascii="Arial" w:eastAsia="Times New Roman" w:hAnsi="Arial" w:cs="Arial"/>
          <w:color w:val="414142"/>
          <w:sz w:val="20"/>
          <w:szCs w:val="20"/>
          <w:lang w:eastAsia="lv-LV"/>
        </w:rPr>
        <w:t>jamas kā līguma pielikumi un ir līguma neatņemamas sastāvdaļas.</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6.2. Visas līguma izpildes gaitā radušās domstarpības ir izšķiramas kopējās pušu pārstāvju apspriedēs, kas tiek protokolētas. Jautājumi, kuros puses nevar vienoties, tiek izšķirti normatīvajos aktos paredzētajā kārtībā.</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6.3. Pušu savstarpējās saistības, kuras nav atrunātas šajā līgumā, regulē normatīvie akti.</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7. LĪGUMA IZPILDE UN IZBEIGŠANA</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lastRenderedPageBreak/>
        <w:t>7.1. Līgums stājas spēkā ar ……………………......</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7.2. Līguma termiņš līdz …………………………..</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7.3. Ja normatīvajos aktos tiek veikti grozījumi, pusēm vienojoties, līguma darbības laiks var tikt pagarināts.</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7.4. Līgumu var izbeigt pirms termiņa, pusēm rakstiski vienojoties.</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7.5. Puses var izbeigt līgumu vienpusēji, ja kāda no pusēm nepilda ar līgumu uzņemtās saistības. Par nodomu izbeigt līgumu puses jābrīdina vismaz vienu mēnesi iepriekš.</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7.6. Līgums ir sastādīts latviešu valodā uz 3 (trīs) lapām trijos eksemplāros, no kuriem viens glabājas pašvaldībā, otrs – pie aukles, bet trešais – pie vecāka. Visiem eksemplāriem ir vienāds juridiskais spēks.</w:t>
      </w:r>
    </w:p>
    <w:p w:rsidR="009D6725" w:rsidRPr="009D6725" w:rsidRDefault="009D6725" w:rsidP="009D6725">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9D6725">
        <w:rPr>
          <w:rFonts w:ascii="Arial" w:eastAsia="Times New Roman" w:hAnsi="Arial" w:cs="Arial"/>
          <w:b/>
          <w:bCs/>
          <w:color w:val="414142"/>
          <w:sz w:val="20"/>
          <w:szCs w:val="20"/>
          <w:lang w:eastAsia="lv-LV"/>
        </w:rPr>
        <w:t>8. PUŠU JURIDISKĀS ADRESES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323"/>
        <w:gridCol w:w="1406"/>
        <w:gridCol w:w="243"/>
        <w:gridCol w:w="78"/>
        <w:gridCol w:w="2570"/>
        <w:gridCol w:w="116"/>
        <w:gridCol w:w="2570"/>
      </w:tblGrid>
      <w:tr w:rsidR="009D6725" w:rsidRPr="009D6725" w:rsidTr="009D6725">
        <w:tc>
          <w:tcPr>
            <w:tcW w:w="1650" w:type="pct"/>
            <w:gridSpan w:val="2"/>
            <w:tcBorders>
              <w:top w:val="nil"/>
              <w:left w:val="nil"/>
              <w:bottom w:val="nil"/>
              <w:right w:val="nil"/>
            </w:tcBorders>
            <w:shd w:val="clear" w:color="auto" w:fill="FFFFFF"/>
            <w:hideMark/>
          </w:tcPr>
          <w:p w:rsidR="009D6725" w:rsidRPr="009D6725" w:rsidRDefault="009D6725" w:rsidP="009D6725">
            <w:pPr>
              <w:spacing w:after="0" w:line="240" w:lineRule="auto"/>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PAŠVALDĪBA:</w:t>
            </w:r>
          </w:p>
        </w:tc>
        <w:tc>
          <w:tcPr>
            <w:tcW w:w="150" w:type="pct"/>
            <w:tcBorders>
              <w:top w:val="nil"/>
              <w:left w:val="nil"/>
              <w:bottom w:val="nil"/>
              <w:right w:val="nil"/>
            </w:tcBorders>
            <w:shd w:val="clear" w:color="auto" w:fill="FFFFFF"/>
            <w:hideMark/>
          </w:tcPr>
          <w:p w:rsidR="009D6725" w:rsidRPr="009D6725" w:rsidRDefault="009D6725" w:rsidP="009D6725">
            <w:pPr>
              <w:spacing w:after="0" w:line="240" w:lineRule="auto"/>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600" w:type="pct"/>
            <w:gridSpan w:val="2"/>
            <w:tcBorders>
              <w:top w:val="nil"/>
              <w:left w:val="nil"/>
              <w:bottom w:val="nil"/>
              <w:right w:val="nil"/>
            </w:tcBorders>
            <w:shd w:val="clear" w:color="auto" w:fill="FFFFFF"/>
            <w:hideMark/>
          </w:tcPr>
          <w:p w:rsidR="009D6725" w:rsidRPr="009D6725" w:rsidRDefault="009D6725" w:rsidP="009D6725">
            <w:pPr>
              <w:spacing w:before="100" w:beforeAutospacing="1" w:after="100" w:afterAutospacing="1" w:line="293" w:lineRule="atLeast"/>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AUKLE:</w:t>
            </w:r>
          </w:p>
        </w:tc>
        <w:tc>
          <w:tcPr>
            <w:tcW w:w="50" w:type="pct"/>
            <w:tcBorders>
              <w:top w:val="nil"/>
              <w:left w:val="nil"/>
              <w:bottom w:val="nil"/>
              <w:right w:val="nil"/>
            </w:tcBorders>
            <w:shd w:val="clear" w:color="auto" w:fill="FFFFFF"/>
            <w:hideMark/>
          </w:tcPr>
          <w:p w:rsidR="009D6725" w:rsidRPr="009D6725" w:rsidRDefault="009D6725" w:rsidP="009D6725">
            <w:pPr>
              <w:spacing w:after="0" w:line="240" w:lineRule="auto"/>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550" w:type="pct"/>
            <w:tcBorders>
              <w:top w:val="nil"/>
              <w:left w:val="nil"/>
              <w:bottom w:val="nil"/>
              <w:right w:val="nil"/>
            </w:tcBorders>
            <w:shd w:val="clear" w:color="auto" w:fill="FFFFFF"/>
            <w:hideMark/>
          </w:tcPr>
          <w:p w:rsidR="009D6725" w:rsidRPr="009D6725" w:rsidRDefault="009D6725" w:rsidP="009D6725">
            <w:pPr>
              <w:spacing w:before="100" w:beforeAutospacing="1" w:after="100" w:afterAutospacing="1" w:line="293" w:lineRule="atLeast"/>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VECĀKS:</w:t>
            </w:r>
          </w:p>
        </w:tc>
      </w:tr>
      <w:tr w:rsidR="009D6725" w:rsidRPr="009D6725" w:rsidTr="009D6725">
        <w:trPr>
          <w:trHeight w:val="450"/>
        </w:trPr>
        <w:tc>
          <w:tcPr>
            <w:tcW w:w="1650" w:type="pct"/>
            <w:gridSpan w:val="2"/>
            <w:tcBorders>
              <w:top w:val="nil"/>
              <w:left w:val="nil"/>
              <w:bottom w:val="single" w:sz="6" w:space="0" w:color="414142"/>
              <w:right w:val="nil"/>
            </w:tcBorders>
            <w:shd w:val="clear" w:color="auto" w:fill="FFFFFF"/>
            <w:vAlign w:val="bottom"/>
            <w:hideMark/>
          </w:tcPr>
          <w:p w:rsidR="009D6725" w:rsidRPr="009D6725" w:rsidRDefault="009D6725" w:rsidP="009D6725">
            <w:pPr>
              <w:spacing w:before="100" w:beforeAutospacing="1" w:after="100" w:afterAutospacing="1" w:line="293" w:lineRule="atLeast"/>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Liepājas pilsētas Izglītības pārvalde</w:t>
            </w:r>
          </w:p>
        </w:tc>
        <w:tc>
          <w:tcPr>
            <w:tcW w:w="150" w:type="pct"/>
            <w:tcBorders>
              <w:top w:val="nil"/>
              <w:left w:val="nil"/>
              <w:bottom w:val="nil"/>
              <w:right w:val="nil"/>
            </w:tcBorders>
            <w:shd w:val="clear" w:color="auto" w:fill="FFFFFF"/>
            <w:vAlign w:val="bottom"/>
            <w:hideMark/>
          </w:tcPr>
          <w:p w:rsidR="009D6725" w:rsidRPr="009D6725" w:rsidRDefault="009D6725" w:rsidP="009D6725">
            <w:pPr>
              <w:spacing w:after="0" w:line="240" w:lineRule="auto"/>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600" w:type="pct"/>
            <w:gridSpan w:val="2"/>
            <w:tcBorders>
              <w:top w:val="nil"/>
              <w:left w:val="nil"/>
              <w:bottom w:val="single" w:sz="6" w:space="0" w:color="414142"/>
              <w:right w:val="nil"/>
            </w:tcBorders>
            <w:shd w:val="clear" w:color="auto" w:fill="FFFFFF"/>
            <w:vAlign w:val="bottom"/>
            <w:hideMark/>
          </w:tcPr>
          <w:p w:rsidR="009D6725" w:rsidRPr="009D6725" w:rsidRDefault="009D6725" w:rsidP="009D6725">
            <w:pPr>
              <w:spacing w:after="0" w:line="240" w:lineRule="auto"/>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vAlign w:val="bottom"/>
            <w:hideMark/>
          </w:tcPr>
          <w:p w:rsidR="009D6725" w:rsidRPr="009D6725" w:rsidRDefault="009D6725" w:rsidP="009D6725">
            <w:pPr>
              <w:spacing w:after="0" w:line="240" w:lineRule="auto"/>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550" w:type="pct"/>
            <w:tcBorders>
              <w:top w:val="nil"/>
              <w:left w:val="nil"/>
              <w:bottom w:val="single" w:sz="6" w:space="0" w:color="414142"/>
              <w:right w:val="nil"/>
            </w:tcBorders>
            <w:shd w:val="clear" w:color="auto" w:fill="FFFFFF"/>
            <w:vAlign w:val="bottom"/>
            <w:hideMark/>
          </w:tcPr>
          <w:p w:rsidR="009D6725" w:rsidRPr="009D6725" w:rsidRDefault="009D6725" w:rsidP="009D6725">
            <w:pPr>
              <w:spacing w:after="0" w:line="240" w:lineRule="auto"/>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r>
      <w:tr w:rsidR="009D6725" w:rsidRPr="009D6725" w:rsidTr="009D6725">
        <w:tc>
          <w:tcPr>
            <w:tcW w:w="800" w:type="pct"/>
            <w:tcBorders>
              <w:top w:val="single" w:sz="6" w:space="0" w:color="414142"/>
              <w:left w:val="nil"/>
              <w:bottom w:val="nil"/>
              <w:right w:val="nil"/>
            </w:tcBorders>
            <w:shd w:val="clear" w:color="auto" w:fill="FFFFFF"/>
            <w:hideMark/>
          </w:tcPr>
          <w:p w:rsidR="009D6725" w:rsidRPr="009D6725" w:rsidRDefault="009D6725" w:rsidP="009D6725">
            <w:pPr>
              <w:spacing w:after="0" w:line="240" w:lineRule="auto"/>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z.v.</w:t>
            </w:r>
          </w:p>
        </w:tc>
        <w:tc>
          <w:tcPr>
            <w:tcW w:w="800" w:type="pct"/>
            <w:tcBorders>
              <w:top w:val="single" w:sz="6" w:space="0" w:color="414142"/>
              <w:left w:val="nil"/>
              <w:bottom w:val="nil"/>
              <w:right w:val="nil"/>
            </w:tcBorders>
            <w:shd w:val="clear" w:color="auto" w:fill="FFFFFF"/>
            <w:hideMark/>
          </w:tcPr>
          <w:p w:rsidR="009D6725" w:rsidRPr="009D6725" w:rsidRDefault="009D6725" w:rsidP="009D6725">
            <w:pPr>
              <w:spacing w:after="0" w:line="240" w:lineRule="auto"/>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200" w:type="pct"/>
            <w:gridSpan w:val="2"/>
            <w:tcBorders>
              <w:top w:val="nil"/>
              <w:left w:val="nil"/>
              <w:bottom w:val="nil"/>
              <w:right w:val="nil"/>
            </w:tcBorders>
            <w:shd w:val="clear" w:color="auto" w:fill="FFFFFF"/>
            <w:hideMark/>
          </w:tcPr>
          <w:p w:rsidR="009D6725" w:rsidRPr="009D6725" w:rsidRDefault="009D6725" w:rsidP="009D6725">
            <w:pPr>
              <w:spacing w:after="0" w:line="240" w:lineRule="auto"/>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550" w:type="pct"/>
            <w:tcBorders>
              <w:top w:val="single" w:sz="6" w:space="0" w:color="414142"/>
              <w:left w:val="nil"/>
              <w:bottom w:val="nil"/>
              <w:right w:val="nil"/>
            </w:tcBorders>
            <w:shd w:val="clear" w:color="auto" w:fill="FFFFFF"/>
            <w:hideMark/>
          </w:tcPr>
          <w:p w:rsidR="009D6725" w:rsidRPr="009D6725" w:rsidRDefault="009D6725" w:rsidP="009D6725">
            <w:pPr>
              <w:spacing w:before="100" w:beforeAutospacing="1" w:after="100" w:afterAutospacing="1" w:line="293" w:lineRule="atLeast"/>
              <w:jc w:val="right"/>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50" w:type="pct"/>
            <w:tcBorders>
              <w:top w:val="nil"/>
              <w:left w:val="nil"/>
              <w:bottom w:val="nil"/>
              <w:right w:val="nil"/>
            </w:tcBorders>
            <w:shd w:val="clear" w:color="auto" w:fill="FFFFFF"/>
            <w:hideMark/>
          </w:tcPr>
          <w:p w:rsidR="009D6725" w:rsidRPr="009D6725" w:rsidRDefault="009D6725" w:rsidP="009D6725">
            <w:pPr>
              <w:spacing w:after="0" w:line="240" w:lineRule="auto"/>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c>
          <w:tcPr>
            <w:tcW w:w="1550" w:type="pct"/>
            <w:tcBorders>
              <w:top w:val="single" w:sz="6" w:space="0" w:color="414142"/>
              <w:left w:val="nil"/>
              <w:bottom w:val="nil"/>
              <w:right w:val="nil"/>
            </w:tcBorders>
            <w:shd w:val="clear" w:color="auto" w:fill="FFFFFF"/>
            <w:hideMark/>
          </w:tcPr>
          <w:p w:rsidR="009D6725" w:rsidRPr="009D6725" w:rsidRDefault="009D6725" w:rsidP="009D6725">
            <w:pPr>
              <w:spacing w:before="100" w:beforeAutospacing="1" w:after="100" w:afterAutospacing="1" w:line="293" w:lineRule="atLeast"/>
              <w:jc w:val="right"/>
              <w:rPr>
                <w:rFonts w:ascii="Arial" w:eastAsia="Times New Roman" w:hAnsi="Arial" w:cs="Arial"/>
                <w:color w:val="414142"/>
                <w:sz w:val="20"/>
                <w:szCs w:val="20"/>
                <w:lang w:eastAsia="lv-LV"/>
              </w:rPr>
            </w:pPr>
            <w:r w:rsidRPr="009D6725">
              <w:rPr>
                <w:rFonts w:ascii="Arial" w:eastAsia="Times New Roman" w:hAnsi="Arial" w:cs="Arial"/>
                <w:color w:val="414142"/>
                <w:sz w:val="20"/>
                <w:szCs w:val="20"/>
                <w:lang w:eastAsia="lv-LV"/>
              </w:rPr>
              <w:t> </w:t>
            </w:r>
          </w:p>
        </w:tc>
      </w:tr>
    </w:tbl>
    <w:p w:rsidR="00D87EAF" w:rsidRDefault="00D87EAF"/>
    <w:sectPr w:rsidR="00D87E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25"/>
    <w:rsid w:val="00725464"/>
    <w:rsid w:val="009D6725"/>
    <w:rsid w:val="00D87EAF"/>
    <w:rsid w:val="00E44D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2BAF3-0FF2-4BB7-8C26-F47CAFDA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6563">
      <w:bodyDiv w:val="1"/>
      <w:marLeft w:val="0"/>
      <w:marRight w:val="0"/>
      <w:marTop w:val="0"/>
      <w:marBottom w:val="0"/>
      <w:divBdr>
        <w:top w:val="none" w:sz="0" w:space="0" w:color="auto"/>
        <w:left w:val="none" w:sz="0" w:space="0" w:color="auto"/>
        <w:bottom w:val="none" w:sz="0" w:space="0" w:color="auto"/>
        <w:right w:val="none" w:sz="0" w:space="0" w:color="auto"/>
      </w:divBdr>
      <w:divsChild>
        <w:div w:id="42104184">
          <w:marLeft w:val="150"/>
          <w:marRight w:val="150"/>
          <w:marTop w:val="480"/>
          <w:marBottom w:val="0"/>
          <w:divBdr>
            <w:top w:val="none" w:sz="0" w:space="0" w:color="auto"/>
            <w:left w:val="none" w:sz="0" w:space="0" w:color="auto"/>
            <w:bottom w:val="none" w:sz="0" w:space="0" w:color="auto"/>
            <w:right w:val="none" w:sz="0" w:space="0" w:color="auto"/>
          </w:divBdr>
        </w:div>
        <w:div w:id="15949754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82423" TargetMode="External"/><Relationship Id="rId5" Type="http://schemas.openxmlformats.org/officeDocument/2006/relationships/hyperlink" Target="https://likumi.lv/ta/id/282423" TargetMode="External"/><Relationship Id="rId4" Type="http://schemas.openxmlformats.org/officeDocument/2006/relationships/hyperlink" Target="https://likumi.lv/ta/id/28242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3559</Words>
  <Characters>2030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Antonova</dc:creator>
  <cp:keywords/>
  <dc:description/>
  <cp:lastModifiedBy>Inta Antonova</cp:lastModifiedBy>
  <cp:revision>3</cp:revision>
  <dcterms:created xsi:type="dcterms:W3CDTF">2018-12-13T14:08:00Z</dcterms:created>
  <dcterms:modified xsi:type="dcterms:W3CDTF">2018-12-21T08:37:00Z</dcterms:modified>
</cp:coreProperties>
</file>