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5E736" w14:textId="77777777" w:rsidR="004F6901" w:rsidRDefault="004F6901" w:rsidP="00A91498">
      <w:pPr>
        <w:ind w:left="-142"/>
        <w:jc w:val="center"/>
        <w:rPr>
          <w:rFonts w:ascii="Arial" w:hAnsi="Arial" w:cs="Arial"/>
          <w:sz w:val="22"/>
          <w:szCs w:val="22"/>
        </w:rPr>
      </w:pPr>
      <w:bookmarkStart w:id="0" w:name="_GoBack"/>
      <w:bookmarkEnd w:id="0"/>
    </w:p>
    <w:p w14:paraId="4135E737" w14:textId="77777777" w:rsidR="00A91498" w:rsidRDefault="000A0CBC" w:rsidP="00A91498">
      <w:pPr>
        <w:jc w:val="center"/>
        <w:rPr>
          <w:rFonts w:ascii="Arial" w:hAnsi="Arial" w:cs="Arial"/>
          <w:b/>
          <w:bCs/>
          <w:sz w:val="22"/>
          <w:szCs w:val="22"/>
          <w:lang w:eastAsia="lv-LV"/>
        </w:rPr>
      </w:pPr>
      <w:r w:rsidRPr="00A91498">
        <w:rPr>
          <w:rFonts w:ascii="Arial" w:hAnsi="Arial" w:cs="Arial"/>
          <w:b/>
          <w:bCs/>
          <w:sz w:val="22"/>
          <w:szCs w:val="22"/>
          <w:lang w:eastAsia="lv-LV"/>
        </w:rPr>
        <w:t xml:space="preserve">Saistošo noteikumu </w:t>
      </w:r>
    </w:p>
    <w:p w14:paraId="4135E738" w14:textId="77777777" w:rsidR="00BA7BAB" w:rsidRPr="002813F8" w:rsidRDefault="000A0CBC" w:rsidP="00445AB7">
      <w:pPr>
        <w:jc w:val="center"/>
        <w:rPr>
          <w:rFonts w:ascii="Arial" w:eastAsiaTheme="minorHAnsi" w:hAnsi="Arial" w:cs="Arial"/>
          <w:b/>
          <w:sz w:val="22"/>
          <w:szCs w:val="22"/>
          <w:shd w:val="clear" w:color="auto" w:fill="FFFFFF"/>
        </w:rPr>
      </w:pPr>
      <w:r w:rsidRPr="00445AB7">
        <w:rPr>
          <w:rFonts w:ascii="Arial" w:eastAsiaTheme="minorHAnsi" w:hAnsi="Arial" w:cs="Arial"/>
          <w:b/>
          <w:sz w:val="22"/>
          <w:szCs w:val="22"/>
        </w:rPr>
        <w:t>“Grozījumi Liepājas pilsētas domes 2016. gada 10. novembra saistoš</w:t>
      </w:r>
      <w:r w:rsidR="00704D2A">
        <w:rPr>
          <w:rFonts w:ascii="Arial" w:eastAsiaTheme="minorHAnsi" w:hAnsi="Arial" w:cs="Arial"/>
          <w:b/>
          <w:sz w:val="22"/>
          <w:szCs w:val="22"/>
        </w:rPr>
        <w:t xml:space="preserve">ajos </w:t>
      </w:r>
      <w:r w:rsidRPr="00445AB7">
        <w:rPr>
          <w:rFonts w:ascii="Arial" w:eastAsiaTheme="minorHAnsi" w:hAnsi="Arial" w:cs="Arial"/>
          <w:b/>
          <w:sz w:val="22"/>
          <w:szCs w:val="22"/>
        </w:rPr>
        <w:t>noteikum</w:t>
      </w:r>
      <w:r w:rsidR="00704D2A">
        <w:rPr>
          <w:rFonts w:ascii="Arial" w:eastAsiaTheme="minorHAnsi" w:hAnsi="Arial" w:cs="Arial"/>
          <w:b/>
          <w:sz w:val="22"/>
          <w:szCs w:val="22"/>
        </w:rPr>
        <w:t>os</w:t>
      </w:r>
      <w:r w:rsidRPr="00445AB7">
        <w:rPr>
          <w:rFonts w:ascii="Arial" w:eastAsiaTheme="minorHAnsi" w:hAnsi="Arial" w:cs="Arial"/>
          <w:b/>
          <w:sz w:val="22"/>
          <w:szCs w:val="22"/>
        </w:rPr>
        <w:t xml:space="preserve"> Nr.24 "Liepājas ezera akvatorijas (teritorijas, kas atrodas Dabas lieguma "Liepājas ezers" II dabas parka zonā) ekspluatācijas (apsaimniekošanas) noteikumi" </w:t>
      </w:r>
      <w:r w:rsidRPr="00A91498">
        <w:rPr>
          <w:rFonts w:ascii="Arial" w:hAnsi="Arial" w:cs="Arial"/>
          <w:b/>
          <w:bCs/>
          <w:sz w:val="22"/>
          <w:szCs w:val="22"/>
          <w:lang w:eastAsia="lv-LV"/>
        </w:rPr>
        <w:t>paskaidrojuma raksts</w:t>
      </w:r>
    </w:p>
    <w:p w14:paraId="4135E739" w14:textId="77777777" w:rsidR="00BA7BAB" w:rsidRDefault="00BA7BAB" w:rsidP="00F5205C">
      <w:pPr>
        <w:ind w:left="-142"/>
        <w:jc w:val="center"/>
        <w:rPr>
          <w:rFonts w:ascii="Arial" w:hAnsi="Arial" w:cs="Arial"/>
          <w:sz w:val="22"/>
          <w:szCs w:val="22"/>
        </w:rPr>
      </w:pPr>
    </w:p>
    <w:p w14:paraId="4135E73A" w14:textId="77777777" w:rsidR="00BA7BAB" w:rsidRPr="00F5205C" w:rsidRDefault="00BA7BAB" w:rsidP="00F5205C">
      <w:pPr>
        <w:ind w:left="-142"/>
        <w:jc w:val="center"/>
        <w:rPr>
          <w:rFonts w:ascii="Arial" w:hAnsi="Arial" w:cs="Arial"/>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6095"/>
      </w:tblGrid>
      <w:tr w:rsidR="00F362C7" w14:paraId="4135E73D" w14:textId="77777777" w:rsidTr="00F5205C">
        <w:tc>
          <w:tcPr>
            <w:tcW w:w="2410" w:type="dxa"/>
          </w:tcPr>
          <w:p w14:paraId="4135E73B" w14:textId="77777777" w:rsidR="004F6901" w:rsidRPr="00F5205C" w:rsidRDefault="000A0CBC" w:rsidP="002E55A6">
            <w:pPr>
              <w:jc w:val="center"/>
              <w:rPr>
                <w:rFonts w:ascii="Arial" w:hAnsi="Arial" w:cs="Arial"/>
                <w:sz w:val="22"/>
                <w:szCs w:val="22"/>
              </w:rPr>
            </w:pPr>
            <w:r w:rsidRPr="00F5205C">
              <w:rPr>
                <w:rFonts w:ascii="Arial" w:hAnsi="Arial" w:cs="Arial"/>
                <w:sz w:val="22"/>
                <w:szCs w:val="22"/>
              </w:rPr>
              <w:t>Paskaidrojuma raksta sadaļas</w:t>
            </w:r>
          </w:p>
        </w:tc>
        <w:tc>
          <w:tcPr>
            <w:tcW w:w="6095" w:type="dxa"/>
          </w:tcPr>
          <w:p w14:paraId="4135E73C" w14:textId="77777777" w:rsidR="004F6901" w:rsidRPr="00F5205C" w:rsidRDefault="000A0CBC" w:rsidP="002E55A6">
            <w:pPr>
              <w:jc w:val="center"/>
              <w:rPr>
                <w:rFonts w:ascii="Arial" w:hAnsi="Arial" w:cs="Arial"/>
                <w:sz w:val="22"/>
                <w:szCs w:val="22"/>
              </w:rPr>
            </w:pPr>
            <w:r w:rsidRPr="00F5205C">
              <w:rPr>
                <w:rFonts w:ascii="Arial" w:hAnsi="Arial" w:cs="Arial"/>
                <w:sz w:val="22"/>
                <w:szCs w:val="22"/>
              </w:rPr>
              <w:t>Norādāmā informācija</w:t>
            </w:r>
          </w:p>
        </w:tc>
      </w:tr>
      <w:tr w:rsidR="00F362C7" w14:paraId="4135E742" w14:textId="77777777" w:rsidTr="00F5205C">
        <w:trPr>
          <w:trHeight w:val="2722"/>
        </w:trPr>
        <w:tc>
          <w:tcPr>
            <w:tcW w:w="2410" w:type="dxa"/>
          </w:tcPr>
          <w:p w14:paraId="4135E73E" w14:textId="77777777" w:rsidR="004F6901" w:rsidRPr="00F5205C" w:rsidRDefault="000A0CBC" w:rsidP="002E55A6">
            <w:pPr>
              <w:rPr>
                <w:rFonts w:ascii="Arial" w:hAnsi="Arial" w:cs="Arial"/>
                <w:sz w:val="22"/>
                <w:szCs w:val="22"/>
              </w:rPr>
            </w:pPr>
            <w:r w:rsidRPr="00F5205C">
              <w:rPr>
                <w:rFonts w:ascii="Arial" w:hAnsi="Arial" w:cs="Arial"/>
                <w:sz w:val="22"/>
                <w:szCs w:val="22"/>
              </w:rPr>
              <w:t xml:space="preserve">1. Projekta nepieciešamības pamatojums </w:t>
            </w:r>
          </w:p>
        </w:tc>
        <w:tc>
          <w:tcPr>
            <w:tcW w:w="6095" w:type="dxa"/>
          </w:tcPr>
          <w:p w14:paraId="4135E73F" w14:textId="6E7E712B" w:rsidR="00BA7BAB" w:rsidRPr="002813F8" w:rsidRDefault="000A0CBC" w:rsidP="002813F8">
            <w:pPr>
              <w:jc w:val="both"/>
              <w:rPr>
                <w:rFonts w:ascii="Arial" w:eastAsiaTheme="minorHAnsi" w:hAnsi="Arial" w:cs="Arial"/>
                <w:sz w:val="22"/>
                <w:szCs w:val="22"/>
              </w:rPr>
            </w:pPr>
            <w:r>
              <w:rPr>
                <w:rFonts w:ascii="Arial" w:eastAsiaTheme="minorHAnsi" w:hAnsi="Arial" w:cs="Arial"/>
                <w:sz w:val="22"/>
                <w:szCs w:val="22"/>
                <w:shd w:val="clear" w:color="auto" w:fill="FFFFFF"/>
              </w:rPr>
              <w:t xml:space="preserve">Ar </w:t>
            </w:r>
            <w:r w:rsidRPr="002813F8">
              <w:rPr>
                <w:rFonts w:ascii="Arial" w:eastAsiaTheme="minorHAnsi" w:hAnsi="Arial" w:cs="Arial"/>
                <w:sz w:val="22"/>
                <w:szCs w:val="22"/>
                <w:shd w:val="clear" w:color="auto" w:fill="FFFFFF"/>
              </w:rPr>
              <w:t>Liepājas pilsētas domes 2016. gada 1</w:t>
            </w:r>
            <w:r w:rsidR="002813F8" w:rsidRPr="002813F8">
              <w:rPr>
                <w:rFonts w:ascii="Arial" w:eastAsiaTheme="minorHAnsi" w:hAnsi="Arial" w:cs="Arial"/>
                <w:sz w:val="22"/>
                <w:szCs w:val="22"/>
                <w:shd w:val="clear" w:color="auto" w:fill="FFFFFF"/>
              </w:rPr>
              <w:t>0</w:t>
            </w:r>
            <w:r w:rsidRPr="002813F8">
              <w:rPr>
                <w:rFonts w:ascii="Arial" w:eastAsiaTheme="minorHAnsi" w:hAnsi="Arial" w:cs="Arial"/>
                <w:sz w:val="22"/>
                <w:szCs w:val="22"/>
                <w:shd w:val="clear" w:color="auto" w:fill="FFFFFF"/>
              </w:rPr>
              <w:t xml:space="preserve">. </w:t>
            </w:r>
            <w:r w:rsidR="002813F8" w:rsidRPr="002813F8">
              <w:rPr>
                <w:rFonts w:ascii="Arial" w:eastAsiaTheme="minorHAnsi" w:hAnsi="Arial" w:cs="Arial"/>
                <w:sz w:val="22"/>
                <w:szCs w:val="22"/>
                <w:shd w:val="clear" w:color="auto" w:fill="FFFFFF"/>
              </w:rPr>
              <w:t>novembra</w:t>
            </w:r>
            <w:r w:rsidRPr="002813F8">
              <w:rPr>
                <w:rFonts w:ascii="Arial" w:eastAsiaTheme="minorHAnsi" w:hAnsi="Arial" w:cs="Arial"/>
                <w:sz w:val="22"/>
                <w:szCs w:val="22"/>
                <w:shd w:val="clear" w:color="auto" w:fill="FFFFFF"/>
              </w:rPr>
              <w:t xml:space="preserve"> saistošaj</w:t>
            </w:r>
            <w:r>
              <w:rPr>
                <w:rFonts w:ascii="Arial" w:eastAsiaTheme="minorHAnsi" w:hAnsi="Arial" w:cs="Arial"/>
                <w:sz w:val="22"/>
                <w:szCs w:val="22"/>
                <w:shd w:val="clear" w:color="auto" w:fill="FFFFFF"/>
              </w:rPr>
              <w:t>iem noteikumiem</w:t>
            </w:r>
            <w:r w:rsidRPr="002813F8">
              <w:rPr>
                <w:rFonts w:ascii="Arial" w:eastAsiaTheme="minorHAnsi" w:hAnsi="Arial" w:cs="Arial"/>
                <w:sz w:val="22"/>
                <w:szCs w:val="22"/>
                <w:shd w:val="clear" w:color="auto" w:fill="FFFFFF"/>
              </w:rPr>
              <w:t xml:space="preserve"> Nr. 2</w:t>
            </w:r>
            <w:r w:rsidR="002813F8" w:rsidRPr="002813F8">
              <w:rPr>
                <w:rFonts w:ascii="Arial" w:eastAsiaTheme="minorHAnsi" w:hAnsi="Arial" w:cs="Arial"/>
                <w:sz w:val="22"/>
                <w:szCs w:val="22"/>
                <w:shd w:val="clear" w:color="auto" w:fill="FFFFFF"/>
              </w:rPr>
              <w:t>4</w:t>
            </w:r>
            <w:r w:rsidRPr="002813F8">
              <w:rPr>
                <w:rFonts w:ascii="Arial" w:eastAsiaTheme="minorHAnsi" w:hAnsi="Arial" w:cs="Arial"/>
                <w:sz w:val="22"/>
                <w:szCs w:val="22"/>
                <w:shd w:val="clear" w:color="auto" w:fill="FFFFFF"/>
              </w:rPr>
              <w:t xml:space="preserve"> </w:t>
            </w:r>
            <w:r w:rsidR="00445AB7" w:rsidRPr="00445AB7">
              <w:rPr>
                <w:rFonts w:ascii="Arial" w:eastAsiaTheme="minorHAnsi" w:hAnsi="Arial" w:cs="Arial"/>
                <w:sz w:val="22"/>
                <w:szCs w:val="22"/>
                <w:shd w:val="clear" w:color="auto" w:fill="FFFFFF"/>
              </w:rPr>
              <w:t xml:space="preserve">"Liepājas ezera akvatorijas (teritorijas, kas atrodas Dabas lieguma "Liepājas ezers" II dabas parka zonā) ekspluatācijas (apsaimniekošanas) noteikumi" apstiprinātajā pielikumā "Liepājas ezera akvatorijas (teritorijas, kas atrodas Dabas lieguma "Liepājas ezers" II dabas parka zonā) ekspluatācijas (apsaimniekošanas) noteikumi" </w:t>
            </w:r>
            <w:r w:rsidRPr="002813F8">
              <w:rPr>
                <w:rFonts w:ascii="Arial" w:eastAsiaTheme="minorHAnsi" w:hAnsi="Arial" w:cs="Arial"/>
                <w:sz w:val="22"/>
                <w:szCs w:val="22"/>
                <w:shd w:val="clear" w:color="auto" w:fill="FFFFFF"/>
              </w:rPr>
              <w:t>ir iekļautas atsauces uz normatīv</w:t>
            </w:r>
            <w:r w:rsidR="00566115">
              <w:rPr>
                <w:rFonts w:ascii="Arial" w:eastAsiaTheme="minorHAnsi" w:hAnsi="Arial" w:cs="Arial"/>
                <w:sz w:val="22"/>
                <w:szCs w:val="22"/>
                <w:shd w:val="clear" w:color="auto" w:fill="FFFFFF"/>
              </w:rPr>
              <w:t>o</w:t>
            </w:r>
            <w:r w:rsidRPr="002813F8">
              <w:rPr>
                <w:rFonts w:ascii="Arial" w:eastAsiaTheme="minorHAnsi" w:hAnsi="Arial" w:cs="Arial"/>
                <w:sz w:val="22"/>
                <w:szCs w:val="22"/>
                <w:shd w:val="clear" w:color="auto" w:fill="FFFFFF"/>
              </w:rPr>
              <w:t xml:space="preserve"> akt</w:t>
            </w:r>
            <w:r w:rsidR="00566115">
              <w:rPr>
                <w:rFonts w:ascii="Arial" w:eastAsiaTheme="minorHAnsi" w:hAnsi="Arial" w:cs="Arial"/>
                <w:sz w:val="22"/>
                <w:szCs w:val="22"/>
                <w:shd w:val="clear" w:color="auto" w:fill="FFFFFF"/>
              </w:rPr>
              <w:t>u</w:t>
            </w:r>
            <w:r w:rsidRPr="002813F8">
              <w:rPr>
                <w:rFonts w:ascii="Arial" w:eastAsiaTheme="minorHAnsi" w:hAnsi="Arial" w:cs="Arial"/>
                <w:sz w:val="22"/>
                <w:szCs w:val="22"/>
                <w:shd w:val="clear" w:color="auto" w:fill="FFFFFF"/>
              </w:rPr>
              <w:t>, kur</w:t>
            </w:r>
            <w:r w:rsidR="00566115">
              <w:rPr>
                <w:rFonts w:ascii="Arial" w:eastAsiaTheme="minorHAnsi" w:hAnsi="Arial" w:cs="Arial"/>
                <w:sz w:val="22"/>
                <w:szCs w:val="22"/>
                <w:shd w:val="clear" w:color="auto" w:fill="FFFFFF"/>
              </w:rPr>
              <w:t>š</w:t>
            </w:r>
            <w:r w:rsidRPr="002813F8">
              <w:rPr>
                <w:rFonts w:ascii="Arial" w:eastAsiaTheme="minorHAnsi" w:hAnsi="Arial" w:cs="Arial"/>
                <w:sz w:val="22"/>
                <w:szCs w:val="22"/>
                <w:shd w:val="clear" w:color="auto" w:fill="FFFFFF"/>
              </w:rPr>
              <w:t xml:space="preserve"> tagad ir zaudēj</w:t>
            </w:r>
            <w:r w:rsidR="00566115">
              <w:rPr>
                <w:rFonts w:ascii="Arial" w:eastAsiaTheme="minorHAnsi" w:hAnsi="Arial" w:cs="Arial"/>
                <w:sz w:val="22"/>
                <w:szCs w:val="22"/>
                <w:shd w:val="clear" w:color="auto" w:fill="FFFFFF"/>
              </w:rPr>
              <w:t>is</w:t>
            </w:r>
            <w:r w:rsidRPr="002813F8">
              <w:rPr>
                <w:rFonts w:ascii="Arial" w:eastAsiaTheme="minorHAnsi" w:hAnsi="Arial" w:cs="Arial"/>
                <w:sz w:val="22"/>
                <w:szCs w:val="22"/>
                <w:shd w:val="clear" w:color="auto" w:fill="FFFFFF"/>
              </w:rPr>
              <w:t xml:space="preserve"> spēku. S</w:t>
            </w:r>
            <w:r w:rsidRPr="002813F8">
              <w:rPr>
                <w:rFonts w:ascii="Arial" w:hAnsi="Arial" w:cs="Arial"/>
                <w:bCs/>
                <w:sz w:val="22"/>
                <w:szCs w:val="22"/>
                <w:lang w:eastAsia="lv-LV"/>
              </w:rPr>
              <w:t>aistošajos noteikumos “</w:t>
            </w:r>
            <w:r w:rsidR="00445AB7" w:rsidRPr="00445AB7">
              <w:rPr>
                <w:rFonts w:ascii="Arial" w:eastAsiaTheme="minorHAnsi" w:hAnsi="Arial" w:cs="Arial"/>
                <w:sz w:val="22"/>
                <w:szCs w:val="22"/>
              </w:rPr>
              <w:t>Grozījumi Liepājas pilsētas domes 2016. gada 10. novembra saistošo noteikumu Nr.24 "Liepājas ezera akvatorijas (teritorijas, kas atrodas Dabas lieguma "Liepājas ezers" II dabas parka zonā) ekspluatācijas (apsaimniekošanas) noteikumi</w:t>
            </w:r>
            <w:r w:rsidR="002813F8" w:rsidRPr="002813F8">
              <w:rPr>
                <w:rFonts w:ascii="Arial" w:eastAsiaTheme="minorHAnsi" w:hAnsi="Arial" w:cs="Arial"/>
                <w:sz w:val="22"/>
                <w:szCs w:val="22"/>
              </w:rPr>
              <w:t>”</w:t>
            </w:r>
            <w:r w:rsidRPr="002813F8">
              <w:rPr>
                <w:rFonts w:ascii="Arial" w:eastAsiaTheme="minorHAnsi" w:hAnsi="Arial" w:cs="Arial"/>
                <w:sz w:val="22"/>
                <w:szCs w:val="22"/>
                <w:shd w:val="clear" w:color="auto" w:fill="FFFFFF"/>
              </w:rPr>
              <w:t>, (</w:t>
            </w:r>
            <w:r w:rsidRPr="002813F8">
              <w:rPr>
                <w:rFonts w:ascii="Arial" w:hAnsi="Arial" w:cs="Arial"/>
                <w:bCs/>
                <w:sz w:val="22"/>
                <w:szCs w:val="22"/>
                <w:lang w:eastAsia="lv-LV"/>
              </w:rPr>
              <w:t>turpmāk – saistošie noteikumi) atsauce uz spēku zaudējoš</w:t>
            </w:r>
            <w:r w:rsidR="00566115">
              <w:rPr>
                <w:rFonts w:ascii="Arial" w:hAnsi="Arial" w:cs="Arial"/>
                <w:bCs/>
                <w:sz w:val="22"/>
                <w:szCs w:val="22"/>
                <w:lang w:eastAsia="lv-LV"/>
              </w:rPr>
              <w:t>o</w:t>
            </w:r>
            <w:r w:rsidRPr="002813F8">
              <w:rPr>
                <w:rFonts w:ascii="Arial" w:hAnsi="Arial" w:cs="Arial"/>
                <w:bCs/>
                <w:sz w:val="22"/>
                <w:szCs w:val="22"/>
                <w:lang w:eastAsia="lv-LV"/>
              </w:rPr>
              <w:t xml:space="preserve"> normatīv</w:t>
            </w:r>
            <w:r w:rsidR="00566115">
              <w:rPr>
                <w:rFonts w:ascii="Arial" w:hAnsi="Arial" w:cs="Arial"/>
                <w:bCs/>
                <w:sz w:val="22"/>
                <w:szCs w:val="22"/>
                <w:lang w:eastAsia="lv-LV"/>
              </w:rPr>
              <w:t>o</w:t>
            </w:r>
            <w:r w:rsidRPr="002813F8">
              <w:rPr>
                <w:rFonts w:ascii="Arial" w:hAnsi="Arial" w:cs="Arial"/>
                <w:bCs/>
                <w:sz w:val="22"/>
                <w:szCs w:val="22"/>
                <w:lang w:eastAsia="lv-LV"/>
              </w:rPr>
              <w:t xml:space="preserve"> akt</w:t>
            </w:r>
            <w:r w:rsidR="00566115">
              <w:rPr>
                <w:rFonts w:ascii="Arial" w:hAnsi="Arial" w:cs="Arial"/>
                <w:bCs/>
                <w:sz w:val="22"/>
                <w:szCs w:val="22"/>
                <w:lang w:eastAsia="lv-LV"/>
              </w:rPr>
              <w:t>u</w:t>
            </w:r>
            <w:r w:rsidRPr="002813F8">
              <w:rPr>
                <w:rFonts w:ascii="Arial" w:hAnsi="Arial" w:cs="Arial"/>
                <w:bCs/>
                <w:sz w:val="22"/>
                <w:szCs w:val="22"/>
                <w:lang w:eastAsia="lv-LV"/>
              </w:rPr>
              <w:t xml:space="preserve"> tiek aizstāta ar  atsauc</w:t>
            </w:r>
            <w:r w:rsidR="00566115">
              <w:rPr>
                <w:rFonts w:ascii="Arial" w:hAnsi="Arial" w:cs="Arial"/>
                <w:bCs/>
                <w:sz w:val="22"/>
                <w:szCs w:val="22"/>
                <w:lang w:eastAsia="lv-LV"/>
              </w:rPr>
              <w:t>i</w:t>
            </w:r>
            <w:r w:rsidRPr="002813F8">
              <w:rPr>
                <w:rFonts w:ascii="Arial" w:hAnsi="Arial" w:cs="Arial"/>
                <w:bCs/>
                <w:sz w:val="22"/>
                <w:szCs w:val="22"/>
                <w:lang w:eastAsia="lv-LV"/>
              </w:rPr>
              <w:t xml:space="preserve"> uz spēkā esoš</w:t>
            </w:r>
            <w:r w:rsidR="00566115">
              <w:rPr>
                <w:rFonts w:ascii="Arial" w:hAnsi="Arial" w:cs="Arial"/>
                <w:bCs/>
                <w:sz w:val="22"/>
                <w:szCs w:val="22"/>
                <w:lang w:eastAsia="lv-LV"/>
              </w:rPr>
              <w:t>u</w:t>
            </w:r>
            <w:r w:rsidRPr="002813F8">
              <w:rPr>
                <w:rFonts w:ascii="Arial" w:hAnsi="Arial" w:cs="Arial"/>
                <w:bCs/>
                <w:sz w:val="22"/>
                <w:szCs w:val="22"/>
                <w:lang w:eastAsia="lv-LV"/>
              </w:rPr>
              <w:t xml:space="preserve"> normatīv</w:t>
            </w:r>
            <w:r w:rsidR="00566115">
              <w:rPr>
                <w:rFonts w:ascii="Arial" w:hAnsi="Arial" w:cs="Arial"/>
                <w:bCs/>
                <w:sz w:val="22"/>
                <w:szCs w:val="22"/>
                <w:lang w:eastAsia="lv-LV"/>
              </w:rPr>
              <w:t>o</w:t>
            </w:r>
            <w:r w:rsidRPr="002813F8">
              <w:rPr>
                <w:rFonts w:ascii="Arial" w:hAnsi="Arial" w:cs="Arial"/>
                <w:bCs/>
                <w:sz w:val="22"/>
                <w:szCs w:val="22"/>
                <w:lang w:eastAsia="lv-LV"/>
              </w:rPr>
              <w:t xml:space="preserve"> akt</w:t>
            </w:r>
            <w:r w:rsidR="00566115">
              <w:rPr>
                <w:rFonts w:ascii="Arial" w:hAnsi="Arial" w:cs="Arial"/>
                <w:bCs/>
                <w:sz w:val="22"/>
                <w:szCs w:val="22"/>
                <w:lang w:eastAsia="lv-LV"/>
              </w:rPr>
              <w:t>u</w:t>
            </w:r>
            <w:r w:rsidRPr="002813F8">
              <w:rPr>
                <w:rFonts w:ascii="Arial" w:hAnsi="Arial" w:cs="Arial"/>
                <w:bCs/>
                <w:sz w:val="22"/>
                <w:szCs w:val="22"/>
                <w:lang w:eastAsia="lv-LV"/>
              </w:rPr>
              <w:t xml:space="preserve"> - Liepājas pilsētas domes 2020. gada 20. februāra saistošajiem noteikumiem Nr.3 „Par licencēto makšķerēšanu Liepājas ezerā un tirdzniecības kanālā no dzelzceļa tilta līdz tramvaja tiltam 2020.-2024. gadam”</w:t>
            </w:r>
            <w:r w:rsidR="002813F8" w:rsidRPr="002813F8">
              <w:rPr>
                <w:rFonts w:ascii="Arial" w:hAnsi="Arial" w:cs="Arial"/>
                <w:bCs/>
                <w:sz w:val="22"/>
                <w:szCs w:val="22"/>
                <w:lang w:eastAsia="lv-LV"/>
              </w:rPr>
              <w:t xml:space="preserve">. </w:t>
            </w:r>
          </w:p>
          <w:p w14:paraId="4135E740" w14:textId="77777777" w:rsidR="00BA7BAB" w:rsidRPr="00BA7BAB" w:rsidRDefault="000A0CBC" w:rsidP="00BA7BAB">
            <w:pPr>
              <w:jc w:val="both"/>
              <w:rPr>
                <w:rFonts w:ascii="Arial" w:hAnsi="Arial" w:cs="Arial"/>
                <w:bCs/>
                <w:sz w:val="22"/>
                <w:szCs w:val="22"/>
                <w:lang w:eastAsia="lv-LV"/>
              </w:rPr>
            </w:pPr>
            <w:r w:rsidRPr="002813F8">
              <w:rPr>
                <w:rFonts w:ascii="Arial" w:hAnsi="Arial" w:cs="Arial"/>
                <w:bCs/>
                <w:sz w:val="22"/>
                <w:szCs w:val="22"/>
                <w:lang w:eastAsia="lv-LV"/>
              </w:rPr>
              <w:t xml:space="preserve">Ar saistošajiem noteikumiem tiek svītrota nodaļa, kas noteica institūcijas, </w:t>
            </w:r>
            <w:r w:rsidR="00655356" w:rsidRPr="002813F8">
              <w:rPr>
                <w:rFonts w:ascii="Arial" w:hAnsi="Arial" w:cs="Arial"/>
                <w:bCs/>
                <w:sz w:val="22"/>
                <w:szCs w:val="22"/>
                <w:lang w:eastAsia="lv-LV"/>
              </w:rPr>
              <w:t>kuras</w:t>
            </w:r>
            <w:r w:rsidRPr="002813F8">
              <w:rPr>
                <w:rFonts w:ascii="Arial" w:hAnsi="Arial" w:cs="Arial"/>
                <w:bCs/>
                <w:sz w:val="22"/>
                <w:szCs w:val="22"/>
                <w:lang w:eastAsia="lv-LV"/>
              </w:rPr>
              <w:t xml:space="preserve"> kontrolē ekspluatācijas noteikumu ievērošanu, jo kompetence ir noteikta citos nozares regulējošos normatīvajos aktos.</w:t>
            </w:r>
          </w:p>
          <w:p w14:paraId="4135E741" w14:textId="77777777" w:rsidR="004F6901" w:rsidRPr="00F5205C" w:rsidRDefault="004F6901" w:rsidP="00BA7BAB">
            <w:pPr>
              <w:tabs>
                <w:tab w:val="left" w:pos="540"/>
                <w:tab w:val="left" w:pos="1080"/>
              </w:tabs>
              <w:jc w:val="both"/>
              <w:rPr>
                <w:rFonts w:ascii="Arial" w:hAnsi="Arial" w:cs="Arial"/>
                <w:sz w:val="22"/>
                <w:szCs w:val="22"/>
              </w:rPr>
            </w:pPr>
          </w:p>
        </w:tc>
      </w:tr>
      <w:tr w:rsidR="00F362C7" w14:paraId="4135E745" w14:textId="77777777" w:rsidTr="00F5205C">
        <w:trPr>
          <w:trHeight w:val="1608"/>
        </w:trPr>
        <w:tc>
          <w:tcPr>
            <w:tcW w:w="2410" w:type="dxa"/>
          </w:tcPr>
          <w:p w14:paraId="4135E743" w14:textId="77777777" w:rsidR="004F6901" w:rsidRPr="00F5205C" w:rsidRDefault="000A0CBC" w:rsidP="002E55A6">
            <w:pPr>
              <w:rPr>
                <w:rFonts w:ascii="Arial" w:hAnsi="Arial" w:cs="Arial"/>
                <w:sz w:val="22"/>
                <w:szCs w:val="22"/>
              </w:rPr>
            </w:pPr>
            <w:r w:rsidRPr="00F5205C">
              <w:rPr>
                <w:rFonts w:ascii="Arial" w:hAnsi="Arial" w:cs="Arial"/>
                <w:sz w:val="22"/>
                <w:szCs w:val="22"/>
              </w:rPr>
              <w:t>2. Īss projekta satura izklāsts</w:t>
            </w:r>
          </w:p>
        </w:tc>
        <w:tc>
          <w:tcPr>
            <w:tcW w:w="6095" w:type="dxa"/>
          </w:tcPr>
          <w:p w14:paraId="4135E744" w14:textId="77777777" w:rsidR="00F5205C" w:rsidRPr="00F5205C" w:rsidRDefault="000A0CBC" w:rsidP="00BA7BAB">
            <w:pPr>
              <w:tabs>
                <w:tab w:val="left" w:pos="540"/>
                <w:tab w:val="left" w:pos="1080"/>
              </w:tabs>
              <w:jc w:val="both"/>
              <w:rPr>
                <w:rFonts w:ascii="Arial" w:hAnsi="Arial" w:cs="Arial"/>
                <w:sz w:val="22"/>
                <w:szCs w:val="22"/>
              </w:rPr>
            </w:pPr>
            <w:r w:rsidRPr="00655356">
              <w:rPr>
                <w:rFonts w:ascii="Arial" w:hAnsi="Arial" w:cs="Arial"/>
                <w:sz w:val="22"/>
                <w:szCs w:val="18"/>
              </w:rPr>
              <w:t>Ar saistošajiem noteikumiem tiek aktualizēta atbilstība citiem normatīvajiem aktiem</w:t>
            </w:r>
            <w:r>
              <w:rPr>
                <w:rFonts w:ascii="Arial" w:hAnsi="Arial" w:cs="Arial"/>
              </w:rPr>
              <w:t>.</w:t>
            </w:r>
          </w:p>
        </w:tc>
      </w:tr>
      <w:tr w:rsidR="00F362C7" w14:paraId="4135E748" w14:textId="77777777" w:rsidTr="00F5205C">
        <w:trPr>
          <w:trHeight w:val="859"/>
        </w:trPr>
        <w:tc>
          <w:tcPr>
            <w:tcW w:w="2410" w:type="dxa"/>
          </w:tcPr>
          <w:p w14:paraId="4135E746" w14:textId="77777777" w:rsidR="004F6901" w:rsidRPr="00F5205C" w:rsidRDefault="000A0CBC" w:rsidP="002E55A6">
            <w:pPr>
              <w:rPr>
                <w:rFonts w:ascii="Arial" w:hAnsi="Arial" w:cs="Arial"/>
                <w:sz w:val="22"/>
                <w:szCs w:val="22"/>
              </w:rPr>
            </w:pPr>
            <w:r w:rsidRPr="00F5205C">
              <w:rPr>
                <w:rFonts w:ascii="Arial" w:hAnsi="Arial" w:cs="Arial"/>
                <w:sz w:val="22"/>
                <w:szCs w:val="22"/>
              </w:rPr>
              <w:t>3. Informācija par plānoto projekta ietekmi uz pašvaldības budžetu</w:t>
            </w:r>
          </w:p>
        </w:tc>
        <w:tc>
          <w:tcPr>
            <w:tcW w:w="6095" w:type="dxa"/>
          </w:tcPr>
          <w:p w14:paraId="4135E747" w14:textId="77777777" w:rsidR="004F6901" w:rsidRPr="00F5205C" w:rsidRDefault="000A0CBC" w:rsidP="00BA7BAB">
            <w:pPr>
              <w:jc w:val="both"/>
              <w:rPr>
                <w:rFonts w:ascii="Arial" w:hAnsi="Arial" w:cs="Arial"/>
                <w:sz w:val="22"/>
                <w:szCs w:val="22"/>
              </w:rPr>
            </w:pPr>
            <w:r>
              <w:rPr>
                <w:rFonts w:ascii="Arial" w:hAnsi="Arial" w:cs="Arial"/>
                <w:sz w:val="22"/>
                <w:szCs w:val="22"/>
              </w:rPr>
              <w:t>Nav ietekme</w:t>
            </w:r>
            <w:r w:rsidR="00AB7C04">
              <w:rPr>
                <w:rFonts w:ascii="Arial" w:hAnsi="Arial" w:cs="Arial"/>
                <w:sz w:val="22"/>
                <w:szCs w:val="22"/>
              </w:rPr>
              <w:t>.</w:t>
            </w:r>
          </w:p>
        </w:tc>
      </w:tr>
      <w:tr w:rsidR="00F362C7" w14:paraId="4135E74D" w14:textId="77777777" w:rsidTr="00F5205C">
        <w:trPr>
          <w:trHeight w:val="1241"/>
        </w:trPr>
        <w:tc>
          <w:tcPr>
            <w:tcW w:w="2410" w:type="dxa"/>
          </w:tcPr>
          <w:p w14:paraId="4135E749" w14:textId="77777777" w:rsidR="004F6901" w:rsidRDefault="000A0CBC" w:rsidP="002E55A6">
            <w:pPr>
              <w:rPr>
                <w:rFonts w:ascii="Arial" w:hAnsi="Arial" w:cs="Arial"/>
                <w:sz w:val="22"/>
                <w:szCs w:val="22"/>
              </w:rPr>
            </w:pPr>
            <w:r w:rsidRPr="00F5205C">
              <w:rPr>
                <w:rFonts w:ascii="Arial" w:hAnsi="Arial" w:cs="Arial"/>
                <w:sz w:val="22"/>
                <w:szCs w:val="22"/>
              </w:rPr>
              <w:t xml:space="preserve">4. Informācija par plānoto projekta ietekmi uz uzņēmējdarbības vidi pašvaldības teritorijā  </w:t>
            </w:r>
          </w:p>
          <w:p w14:paraId="4135E74A" w14:textId="77777777" w:rsidR="00F5205C" w:rsidRPr="00F5205C" w:rsidRDefault="00F5205C" w:rsidP="002E55A6">
            <w:pPr>
              <w:rPr>
                <w:rFonts w:ascii="Arial" w:hAnsi="Arial" w:cs="Arial"/>
                <w:sz w:val="22"/>
                <w:szCs w:val="22"/>
              </w:rPr>
            </w:pPr>
          </w:p>
        </w:tc>
        <w:tc>
          <w:tcPr>
            <w:tcW w:w="6095" w:type="dxa"/>
          </w:tcPr>
          <w:p w14:paraId="4135E74B" w14:textId="77777777" w:rsidR="004F6901" w:rsidRPr="00F5205C" w:rsidRDefault="000A0CBC" w:rsidP="002E55A6">
            <w:pPr>
              <w:jc w:val="both"/>
              <w:rPr>
                <w:rFonts w:ascii="Arial" w:hAnsi="Arial" w:cs="Arial"/>
                <w:sz w:val="22"/>
                <w:szCs w:val="22"/>
              </w:rPr>
            </w:pPr>
            <w:r w:rsidRPr="00F5205C">
              <w:rPr>
                <w:rFonts w:ascii="Arial" w:hAnsi="Arial" w:cs="Arial"/>
                <w:sz w:val="22"/>
                <w:szCs w:val="22"/>
              </w:rPr>
              <w:t xml:space="preserve">Nav </w:t>
            </w:r>
            <w:r w:rsidR="009F1E2D">
              <w:rPr>
                <w:rFonts w:ascii="Arial" w:hAnsi="Arial" w:cs="Arial"/>
                <w:sz w:val="22"/>
                <w:szCs w:val="22"/>
              </w:rPr>
              <w:t xml:space="preserve">nepieciešams. </w:t>
            </w:r>
          </w:p>
          <w:p w14:paraId="4135E74C" w14:textId="77777777" w:rsidR="004F6901" w:rsidRPr="00F5205C" w:rsidRDefault="004F6901" w:rsidP="002E55A6">
            <w:pPr>
              <w:jc w:val="both"/>
              <w:rPr>
                <w:rFonts w:ascii="Arial" w:hAnsi="Arial" w:cs="Arial"/>
                <w:sz w:val="22"/>
                <w:szCs w:val="22"/>
              </w:rPr>
            </w:pPr>
          </w:p>
        </w:tc>
      </w:tr>
      <w:tr w:rsidR="00F362C7" w14:paraId="4135E753" w14:textId="77777777" w:rsidTr="00F5205C">
        <w:tc>
          <w:tcPr>
            <w:tcW w:w="2410" w:type="dxa"/>
          </w:tcPr>
          <w:p w14:paraId="4135E74E" w14:textId="77777777" w:rsidR="004F6901" w:rsidRPr="00F5205C" w:rsidRDefault="000A0CBC" w:rsidP="002E55A6">
            <w:pPr>
              <w:rPr>
                <w:rFonts w:ascii="Arial" w:hAnsi="Arial" w:cs="Arial"/>
                <w:sz w:val="22"/>
                <w:szCs w:val="22"/>
              </w:rPr>
            </w:pPr>
            <w:r w:rsidRPr="00F5205C">
              <w:rPr>
                <w:rFonts w:ascii="Arial" w:hAnsi="Arial" w:cs="Arial"/>
                <w:sz w:val="22"/>
                <w:szCs w:val="22"/>
              </w:rPr>
              <w:t xml:space="preserve">5. Informācija par administratīvajām procedūrām </w:t>
            </w:r>
          </w:p>
          <w:p w14:paraId="4135E74F" w14:textId="77777777" w:rsidR="004F6901" w:rsidRPr="00F5205C" w:rsidRDefault="004F6901" w:rsidP="002E55A6">
            <w:pPr>
              <w:jc w:val="both"/>
              <w:rPr>
                <w:rFonts w:ascii="Arial" w:hAnsi="Arial" w:cs="Arial"/>
                <w:sz w:val="22"/>
                <w:szCs w:val="22"/>
              </w:rPr>
            </w:pPr>
          </w:p>
        </w:tc>
        <w:tc>
          <w:tcPr>
            <w:tcW w:w="6095" w:type="dxa"/>
          </w:tcPr>
          <w:p w14:paraId="4135E750" w14:textId="77777777" w:rsidR="00F5205C" w:rsidRDefault="00F5205C" w:rsidP="002E55A6">
            <w:pPr>
              <w:jc w:val="both"/>
              <w:rPr>
                <w:rFonts w:ascii="Arial" w:hAnsi="Arial" w:cs="Arial"/>
                <w:sz w:val="22"/>
                <w:szCs w:val="22"/>
              </w:rPr>
            </w:pPr>
          </w:p>
          <w:p w14:paraId="4135E751" w14:textId="105EBB1D" w:rsidR="004F6901" w:rsidRPr="00F5205C" w:rsidRDefault="000A0CBC" w:rsidP="002E55A6">
            <w:pPr>
              <w:jc w:val="both"/>
              <w:rPr>
                <w:rFonts w:ascii="Arial" w:hAnsi="Arial" w:cs="Arial"/>
                <w:sz w:val="22"/>
                <w:szCs w:val="22"/>
              </w:rPr>
            </w:pPr>
            <w:r w:rsidRPr="00F5205C">
              <w:rPr>
                <w:rFonts w:ascii="Arial" w:hAnsi="Arial" w:cs="Arial"/>
                <w:sz w:val="22"/>
                <w:szCs w:val="22"/>
              </w:rPr>
              <w:t xml:space="preserve">Saistošie noteikumi tiks nosūtīti izskatīšanai un atzinuma sniegšanai Vides aizsardzības un reģionālās attīstības ministrijai, tiks publicēti oficiālajā izdevumā “Latvijas Vēstnesis” un </w:t>
            </w:r>
            <w:r>
              <w:rPr>
                <w:rFonts w:ascii="Arial" w:hAnsi="Arial" w:cs="Arial"/>
                <w:sz w:val="22"/>
                <w:szCs w:val="22"/>
              </w:rPr>
              <w:t>pašvaldības mājas</w:t>
            </w:r>
            <w:r w:rsidRPr="00F5205C">
              <w:rPr>
                <w:rFonts w:ascii="Arial" w:hAnsi="Arial" w:cs="Arial"/>
                <w:sz w:val="22"/>
                <w:szCs w:val="22"/>
              </w:rPr>
              <w:t xml:space="preserve">lapā </w:t>
            </w:r>
            <w:hyperlink r:id="rId4" w:history="1">
              <w:r w:rsidRPr="00F5205C">
                <w:rPr>
                  <w:rStyle w:val="Hipersaite"/>
                  <w:rFonts w:ascii="Arial" w:hAnsi="Arial" w:cs="Arial"/>
                  <w:sz w:val="22"/>
                  <w:szCs w:val="22"/>
                </w:rPr>
                <w:t>www.liepaja.lv</w:t>
              </w:r>
            </w:hyperlink>
            <w:r w:rsidRPr="00F5205C">
              <w:rPr>
                <w:rFonts w:ascii="Arial" w:hAnsi="Arial" w:cs="Arial"/>
                <w:sz w:val="22"/>
                <w:szCs w:val="22"/>
              </w:rPr>
              <w:t xml:space="preserve">. </w:t>
            </w:r>
          </w:p>
          <w:p w14:paraId="4135E752" w14:textId="77777777" w:rsidR="004F6901" w:rsidRPr="00F5205C" w:rsidRDefault="004F6901" w:rsidP="002E55A6">
            <w:pPr>
              <w:jc w:val="both"/>
              <w:rPr>
                <w:rFonts w:ascii="Arial" w:hAnsi="Arial" w:cs="Arial"/>
                <w:sz w:val="22"/>
                <w:szCs w:val="22"/>
              </w:rPr>
            </w:pPr>
          </w:p>
        </w:tc>
      </w:tr>
      <w:tr w:rsidR="00F362C7" w14:paraId="4135E756" w14:textId="77777777" w:rsidTr="00F5205C">
        <w:trPr>
          <w:trHeight w:val="816"/>
        </w:trPr>
        <w:tc>
          <w:tcPr>
            <w:tcW w:w="2410" w:type="dxa"/>
          </w:tcPr>
          <w:p w14:paraId="4135E754" w14:textId="77777777" w:rsidR="004F6901" w:rsidRPr="00F5205C" w:rsidRDefault="000A0CBC" w:rsidP="002E55A6">
            <w:pPr>
              <w:pStyle w:val="Pamatteksts"/>
              <w:jc w:val="left"/>
              <w:rPr>
                <w:rFonts w:ascii="Arial" w:hAnsi="Arial" w:cs="Arial"/>
                <w:sz w:val="22"/>
                <w:szCs w:val="22"/>
              </w:rPr>
            </w:pPr>
            <w:r w:rsidRPr="00F5205C">
              <w:rPr>
                <w:rFonts w:ascii="Arial" w:hAnsi="Arial" w:cs="Arial"/>
                <w:sz w:val="22"/>
                <w:szCs w:val="22"/>
              </w:rPr>
              <w:lastRenderedPageBreak/>
              <w:t>6. Informācija par konsultācijām ar privātpersonām</w:t>
            </w:r>
          </w:p>
        </w:tc>
        <w:tc>
          <w:tcPr>
            <w:tcW w:w="6095" w:type="dxa"/>
          </w:tcPr>
          <w:p w14:paraId="4135E755" w14:textId="77777777" w:rsidR="004F6901" w:rsidRPr="00F5205C" w:rsidRDefault="000A0CBC" w:rsidP="002E55A6">
            <w:pPr>
              <w:jc w:val="both"/>
              <w:rPr>
                <w:rFonts w:ascii="Arial" w:hAnsi="Arial" w:cs="Arial"/>
                <w:sz w:val="22"/>
                <w:szCs w:val="22"/>
              </w:rPr>
            </w:pPr>
            <w:r w:rsidRPr="00F5205C">
              <w:rPr>
                <w:rFonts w:ascii="Arial" w:hAnsi="Arial" w:cs="Arial"/>
                <w:sz w:val="22"/>
                <w:szCs w:val="22"/>
              </w:rPr>
              <w:t>Nav notikušas.</w:t>
            </w:r>
          </w:p>
        </w:tc>
      </w:tr>
    </w:tbl>
    <w:p w14:paraId="4135E757" w14:textId="77777777" w:rsidR="007156C5" w:rsidRPr="00F5205C" w:rsidRDefault="007156C5" w:rsidP="007156C5">
      <w:pPr>
        <w:tabs>
          <w:tab w:val="left" w:pos="6660"/>
        </w:tabs>
        <w:jc w:val="both"/>
        <w:rPr>
          <w:rFonts w:ascii="Arial" w:hAnsi="Arial" w:cs="Arial"/>
          <w:sz w:val="22"/>
          <w:szCs w:val="22"/>
        </w:rPr>
      </w:pPr>
    </w:p>
    <w:p w14:paraId="4135E758" w14:textId="77777777" w:rsidR="00FC2F63" w:rsidRPr="00F5205C" w:rsidRDefault="000A0CBC" w:rsidP="007156C5">
      <w:pPr>
        <w:tabs>
          <w:tab w:val="left" w:pos="6660"/>
        </w:tabs>
        <w:jc w:val="both"/>
        <w:rPr>
          <w:rFonts w:ascii="Arial" w:hAnsi="Arial" w:cs="Arial"/>
          <w:sz w:val="22"/>
          <w:szCs w:val="22"/>
        </w:rPr>
      </w:pPr>
      <w:r w:rsidRPr="00F5205C">
        <w:rPr>
          <w:rFonts w:ascii="Arial" w:hAnsi="Arial" w:cs="Arial"/>
          <w:sz w:val="22"/>
          <w:szCs w:val="22"/>
        </w:rPr>
        <w:t xml:space="preserve">       DOMES PRIEKŠSĒDĒTĀJS</w:t>
      </w:r>
      <w:r w:rsidR="004F6901" w:rsidRPr="00F5205C">
        <w:rPr>
          <w:rFonts w:ascii="Arial" w:hAnsi="Arial" w:cs="Arial"/>
          <w:sz w:val="22"/>
          <w:szCs w:val="22"/>
        </w:rPr>
        <w:t xml:space="preserve">                                 </w:t>
      </w:r>
      <w:r w:rsidRPr="00F5205C">
        <w:rPr>
          <w:rFonts w:ascii="Arial" w:hAnsi="Arial" w:cs="Arial"/>
          <w:sz w:val="22"/>
          <w:szCs w:val="22"/>
        </w:rPr>
        <w:t xml:space="preserve">                      J.VILNĪTIS</w:t>
      </w:r>
    </w:p>
    <w:sectPr w:rsidR="00FC2F63" w:rsidRPr="00F5205C" w:rsidSect="009F1E2D">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wiss TL">
    <w:altName w:val="Segoe Script"/>
    <w:charset w:val="BA"/>
    <w:family w:val="swiss"/>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01"/>
    <w:rsid w:val="00004EED"/>
    <w:rsid w:val="000A0CBC"/>
    <w:rsid w:val="00141291"/>
    <w:rsid w:val="002813F8"/>
    <w:rsid w:val="002E55A6"/>
    <w:rsid w:val="00386001"/>
    <w:rsid w:val="00445AB7"/>
    <w:rsid w:val="004C144A"/>
    <w:rsid w:val="004F6901"/>
    <w:rsid w:val="00566115"/>
    <w:rsid w:val="00655356"/>
    <w:rsid w:val="006D091A"/>
    <w:rsid w:val="00704D2A"/>
    <w:rsid w:val="007156C5"/>
    <w:rsid w:val="00937F7C"/>
    <w:rsid w:val="0097564D"/>
    <w:rsid w:val="009F1E2D"/>
    <w:rsid w:val="00A91498"/>
    <w:rsid w:val="00AB7C04"/>
    <w:rsid w:val="00BA7BAB"/>
    <w:rsid w:val="00C20E12"/>
    <w:rsid w:val="00DE6247"/>
    <w:rsid w:val="00F212E4"/>
    <w:rsid w:val="00F362C7"/>
    <w:rsid w:val="00F5205C"/>
    <w:rsid w:val="00F75E46"/>
    <w:rsid w:val="00FC2F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E736"/>
  <w15:chartTrackingRefBased/>
  <w15:docId w15:val="{337314F8-EFBD-406B-A2F9-427131E8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6901"/>
    <w:pPr>
      <w:spacing w:after="0" w:line="240" w:lineRule="auto"/>
    </w:pPr>
    <w:rPr>
      <w:rFonts w:ascii="Swiss TL" w:eastAsia="Times New Roman" w:hAnsi="Swiss TL" w:cs="Times New Roman"/>
      <w:sz w:val="24"/>
      <w:szCs w:val="20"/>
    </w:rPr>
  </w:style>
  <w:style w:type="paragraph" w:styleId="Virsraksts3">
    <w:name w:val="heading 3"/>
    <w:basedOn w:val="Parasts"/>
    <w:link w:val="Virsraksts3Rakstz"/>
    <w:qFormat/>
    <w:rsid w:val="004F6901"/>
    <w:pPr>
      <w:spacing w:before="100" w:beforeAutospacing="1" w:after="100" w:afterAutospacing="1"/>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4F6901"/>
    <w:rPr>
      <w:rFonts w:ascii="Times New Roman" w:eastAsia="Times New Roman" w:hAnsi="Times New Roman" w:cs="Times New Roman"/>
      <w:b/>
      <w:bCs/>
      <w:sz w:val="27"/>
      <w:szCs w:val="27"/>
      <w:lang w:eastAsia="lv-LV"/>
    </w:rPr>
  </w:style>
  <w:style w:type="paragraph" w:styleId="Pamatteksts">
    <w:name w:val="Body Text"/>
    <w:basedOn w:val="Parasts"/>
    <w:link w:val="PamattekstsRakstz"/>
    <w:rsid w:val="004F6901"/>
    <w:pPr>
      <w:jc w:val="both"/>
    </w:pPr>
  </w:style>
  <w:style w:type="character" w:customStyle="1" w:styleId="PamattekstsRakstz">
    <w:name w:val="Pamatteksts Rakstz."/>
    <w:basedOn w:val="Noklusjumarindkopasfonts"/>
    <w:link w:val="Pamatteksts"/>
    <w:rsid w:val="004F6901"/>
    <w:rPr>
      <w:rFonts w:ascii="Swiss TL" w:eastAsia="Times New Roman" w:hAnsi="Swiss TL" w:cs="Times New Roman"/>
      <w:sz w:val="24"/>
      <w:szCs w:val="20"/>
    </w:rPr>
  </w:style>
  <w:style w:type="character" w:styleId="Izteiksmgs">
    <w:name w:val="Strong"/>
    <w:qFormat/>
    <w:rsid w:val="004F6901"/>
    <w:rPr>
      <w:b/>
      <w:bCs/>
    </w:rPr>
  </w:style>
  <w:style w:type="character" w:styleId="Hipersaite">
    <w:name w:val="Hyperlink"/>
    <w:rsid w:val="004F6901"/>
    <w:rPr>
      <w:color w:val="0000FF"/>
      <w:u w:val="single"/>
    </w:rPr>
  </w:style>
  <w:style w:type="paragraph" w:styleId="Balonteksts">
    <w:name w:val="Balloon Text"/>
    <w:basedOn w:val="Parasts"/>
    <w:link w:val="BalontekstsRakstz"/>
    <w:uiPriority w:val="99"/>
    <w:semiHidden/>
    <w:unhideWhenUsed/>
    <w:rsid w:val="0056611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661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epa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1557</Words>
  <Characters>888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Liepniece</dc:creator>
  <cp:lastModifiedBy>Egita Lukjanova</cp:lastModifiedBy>
  <cp:revision>2</cp:revision>
  <dcterms:created xsi:type="dcterms:W3CDTF">2020-05-18T09:08:00Z</dcterms:created>
  <dcterms:modified xsi:type="dcterms:W3CDTF">2020-05-18T09:08:00Z</dcterms:modified>
</cp:coreProperties>
</file>