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E2DAC" w14:textId="77777777" w:rsidR="00CA5153" w:rsidRPr="00376E62" w:rsidRDefault="00CB64CD" w:rsidP="00454068">
      <w:pPr>
        <w:ind w:left="10800" w:firstLine="720"/>
        <w:jc w:val="center"/>
        <w:rPr>
          <w:b/>
          <w:sz w:val="24"/>
          <w:szCs w:val="24"/>
        </w:rPr>
      </w:pPr>
      <w:r w:rsidRPr="00376E62">
        <w:rPr>
          <w:b/>
          <w:sz w:val="24"/>
          <w:szCs w:val="24"/>
        </w:rPr>
        <w:t>6.</w:t>
      </w:r>
      <w:r w:rsidR="007F31B2">
        <w:rPr>
          <w:b/>
          <w:sz w:val="24"/>
          <w:szCs w:val="24"/>
        </w:rPr>
        <w:t xml:space="preserve"> </w:t>
      </w:r>
      <w:r w:rsidRPr="00376E62">
        <w:rPr>
          <w:b/>
          <w:sz w:val="24"/>
          <w:szCs w:val="24"/>
        </w:rPr>
        <w:t>pielikums</w:t>
      </w:r>
    </w:p>
    <w:p w14:paraId="6D0AFF3E" w14:textId="77777777" w:rsidR="00CB64CD" w:rsidRPr="00376E62" w:rsidRDefault="00CB64CD" w:rsidP="004F4509">
      <w:pPr>
        <w:ind w:left="10800" w:firstLine="720"/>
        <w:jc w:val="center"/>
        <w:rPr>
          <w:b/>
          <w:sz w:val="24"/>
          <w:szCs w:val="24"/>
        </w:rPr>
      </w:pPr>
      <w:r w:rsidRPr="00376E62">
        <w:rPr>
          <w:b/>
          <w:sz w:val="24"/>
          <w:szCs w:val="24"/>
        </w:rPr>
        <w:t xml:space="preserve">     </w:t>
      </w:r>
    </w:p>
    <w:p w14:paraId="59EECC9B" w14:textId="77777777" w:rsidR="007436ED" w:rsidRPr="00376E62" w:rsidRDefault="00731833" w:rsidP="001F1ACB">
      <w:pPr>
        <w:jc w:val="center"/>
        <w:rPr>
          <w:sz w:val="24"/>
          <w:szCs w:val="24"/>
        </w:rPr>
      </w:pPr>
      <w:r w:rsidRPr="00376E62">
        <w:rPr>
          <w:b/>
          <w:sz w:val="24"/>
          <w:szCs w:val="24"/>
        </w:rPr>
        <w:t>SIA „</w:t>
      </w:r>
      <w:r w:rsidR="004F4509" w:rsidRPr="00376E62">
        <w:rPr>
          <w:b/>
          <w:sz w:val="24"/>
          <w:szCs w:val="24"/>
        </w:rPr>
        <w:t>Tinby</w:t>
      </w:r>
      <w:r w:rsidRPr="00376E62">
        <w:rPr>
          <w:b/>
          <w:sz w:val="24"/>
          <w:szCs w:val="24"/>
        </w:rPr>
        <w:t xml:space="preserve">” </w:t>
      </w:r>
      <w:r w:rsidR="00C01E53" w:rsidRPr="00376E62">
        <w:rPr>
          <w:b/>
          <w:sz w:val="24"/>
          <w:szCs w:val="24"/>
        </w:rPr>
        <w:t xml:space="preserve">darbinieku </w:t>
      </w:r>
      <w:r w:rsidR="0011216D" w:rsidRPr="00376E62">
        <w:rPr>
          <w:b/>
          <w:bCs/>
          <w:sz w:val="24"/>
          <w:szCs w:val="24"/>
        </w:rPr>
        <w:t xml:space="preserve">tehniskās apmācības </w:t>
      </w:r>
      <w:r w:rsidR="00C01E53" w:rsidRPr="00376E62">
        <w:rPr>
          <w:b/>
          <w:bCs/>
          <w:sz w:val="24"/>
          <w:szCs w:val="24"/>
        </w:rPr>
        <w:t>programma</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631"/>
        <w:gridCol w:w="1134"/>
        <w:gridCol w:w="1560"/>
      </w:tblGrid>
      <w:tr w:rsidR="007436ED" w:rsidRPr="00F21944" w14:paraId="6AA2D4CA" w14:textId="77777777" w:rsidTr="00CB64CD">
        <w:tc>
          <w:tcPr>
            <w:tcW w:w="709" w:type="dxa"/>
            <w:shd w:val="clear" w:color="auto" w:fill="D9D9D9" w:themeFill="background1" w:themeFillShade="D9"/>
            <w:vAlign w:val="center"/>
          </w:tcPr>
          <w:p w14:paraId="392C437B" w14:textId="77777777" w:rsidR="007436ED" w:rsidRPr="00F21944" w:rsidRDefault="007436ED" w:rsidP="003237F2">
            <w:pPr>
              <w:jc w:val="center"/>
              <w:rPr>
                <w:b/>
                <w:bCs/>
                <w:sz w:val="24"/>
                <w:szCs w:val="24"/>
              </w:rPr>
            </w:pPr>
            <w:r w:rsidRPr="00F21944">
              <w:rPr>
                <w:b/>
                <w:bCs/>
                <w:sz w:val="24"/>
                <w:szCs w:val="24"/>
              </w:rPr>
              <w:t>N</w:t>
            </w:r>
            <w:r>
              <w:rPr>
                <w:b/>
                <w:bCs/>
                <w:sz w:val="24"/>
                <w:szCs w:val="24"/>
              </w:rPr>
              <w:t>r.</w:t>
            </w:r>
          </w:p>
        </w:tc>
        <w:tc>
          <w:tcPr>
            <w:tcW w:w="10631" w:type="dxa"/>
            <w:shd w:val="clear" w:color="auto" w:fill="D9D9D9" w:themeFill="background1" w:themeFillShade="D9"/>
            <w:vAlign w:val="center"/>
          </w:tcPr>
          <w:p w14:paraId="7225921C" w14:textId="77777777" w:rsidR="007436ED" w:rsidRPr="00F21944" w:rsidRDefault="007436ED" w:rsidP="003237F2">
            <w:pPr>
              <w:pStyle w:val="Virsraksts2"/>
              <w:spacing w:before="0" w:after="0"/>
              <w:jc w:val="center"/>
              <w:rPr>
                <w:rFonts w:ascii="Times New Roman" w:hAnsi="Times New Roman" w:cs="Times New Roman"/>
                <w:i w:val="0"/>
                <w:sz w:val="24"/>
                <w:szCs w:val="24"/>
              </w:rPr>
            </w:pPr>
            <w:r w:rsidRPr="00F21944">
              <w:rPr>
                <w:rFonts w:ascii="Times New Roman" w:hAnsi="Times New Roman" w:cs="Times New Roman"/>
                <w:i w:val="0"/>
                <w:sz w:val="24"/>
                <w:szCs w:val="24"/>
              </w:rPr>
              <w:t>Nodarbību priekšmets, tēmas, to īsa anotācija</w:t>
            </w:r>
          </w:p>
        </w:tc>
        <w:tc>
          <w:tcPr>
            <w:tcW w:w="1134" w:type="dxa"/>
            <w:shd w:val="clear" w:color="auto" w:fill="D9D9D9" w:themeFill="background1" w:themeFillShade="D9"/>
            <w:vAlign w:val="center"/>
          </w:tcPr>
          <w:p w14:paraId="26632081" w14:textId="77777777" w:rsidR="007436ED" w:rsidRPr="00F21944" w:rsidRDefault="007436ED" w:rsidP="003237F2">
            <w:pPr>
              <w:pStyle w:val="Virsraksts2"/>
              <w:spacing w:before="0" w:after="0"/>
              <w:jc w:val="center"/>
              <w:rPr>
                <w:rFonts w:ascii="Times New Roman" w:hAnsi="Times New Roman" w:cs="Times New Roman"/>
                <w:i w:val="0"/>
                <w:sz w:val="24"/>
                <w:szCs w:val="24"/>
              </w:rPr>
            </w:pPr>
            <w:r w:rsidRPr="00F21944">
              <w:rPr>
                <w:rFonts w:ascii="Times New Roman" w:hAnsi="Times New Roman" w:cs="Times New Roman"/>
                <w:i w:val="0"/>
                <w:sz w:val="24"/>
                <w:szCs w:val="24"/>
              </w:rPr>
              <w:t>Mācību stundu skaits</w:t>
            </w:r>
          </w:p>
        </w:tc>
        <w:tc>
          <w:tcPr>
            <w:tcW w:w="1560" w:type="dxa"/>
            <w:shd w:val="clear" w:color="auto" w:fill="D9D9D9" w:themeFill="background1" w:themeFillShade="D9"/>
            <w:vAlign w:val="center"/>
          </w:tcPr>
          <w:p w14:paraId="43E2B0BB" w14:textId="77777777" w:rsidR="007436ED" w:rsidRPr="00F21944" w:rsidRDefault="007436ED" w:rsidP="003237F2">
            <w:pPr>
              <w:jc w:val="center"/>
              <w:rPr>
                <w:b/>
                <w:bCs/>
                <w:sz w:val="24"/>
                <w:szCs w:val="24"/>
              </w:rPr>
            </w:pPr>
            <w:r w:rsidRPr="00F21944">
              <w:rPr>
                <w:b/>
                <w:bCs/>
                <w:sz w:val="24"/>
                <w:szCs w:val="24"/>
              </w:rPr>
              <w:t>Pasniedzējs</w:t>
            </w:r>
          </w:p>
        </w:tc>
      </w:tr>
      <w:tr w:rsidR="007436ED" w:rsidRPr="00F21944" w14:paraId="1803510B" w14:textId="77777777" w:rsidTr="00CB64CD">
        <w:tc>
          <w:tcPr>
            <w:tcW w:w="709" w:type="dxa"/>
            <w:shd w:val="clear" w:color="auto" w:fill="D9D9D9" w:themeFill="background1" w:themeFillShade="D9"/>
            <w:vAlign w:val="center"/>
          </w:tcPr>
          <w:p w14:paraId="03CA47F1" w14:textId="77777777" w:rsidR="007436ED" w:rsidRPr="00F21944" w:rsidRDefault="007436ED" w:rsidP="003237F2">
            <w:pPr>
              <w:jc w:val="center"/>
              <w:rPr>
                <w:b/>
                <w:bCs/>
                <w:sz w:val="24"/>
                <w:szCs w:val="24"/>
              </w:rPr>
            </w:pPr>
            <w:r w:rsidRPr="00F21944">
              <w:rPr>
                <w:b/>
                <w:bCs/>
                <w:sz w:val="24"/>
                <w:szCs w:val="24"/>
              </w:rPr>
              <w:t>1</w:t>
            </w:r>
          </w:p>
        </w:tc>
        <w:tc>
          <w:tcPr>
            <w:tcW w:w="10631" w:type="dxa"/>
            <w:shd w:val="clear" w:color="auto" w:fill="D9D9D9" w:themeFill="background1" w:themeFillShade="D9"/>
            <w:vAlign w:val="center"/>
          </w:tcPr>
          <w:p w14:paraId="02369403" w14:textId="77777777" w:rsidR="007436ED" w:rsidRPr="00F21944" w:rsidRDefault="007436ED" w:rsidP="003237F2">
            <w:pPr>
              <w:jc w:val="center"/>
              <w:rPr>
                <w:b/>
                <w:bCs/>
                <w:sz w:val="24"/>
                <w:szCs w:val="24"/>
              </w:rPr>
            </w:pPr>
            <w:r w:rsidRPr="00F21944">
              <w:rPr>
                <w:b/>
                <w:bCs/>
                <w:sz w:val="24"/>
                <w:szCs w:val="24"/>
              </w:rPr>
              <w:t>2</w:t>
            </w:r>
          </w:p>
        </w:tc>
        <w:tc>
          <w:tcPr>
            <w:tcW w:w="1134" w:type="dxa"/>
            <w:shd w:val="clear" w:color="auto" w:fill="D9D9D9" w:themeFill="background1" w:themeFillShade="D9"/>
            <w:vAlign w:val="center"/>
          </w:tcPr>
          <w:p w14:paraId="02D8F80F" w14:textId="77777777" w:rsidR="007436ED" w:rsidRPr="00F21944" w:rsidRDefault="007436ED" w:rsidP="003237F2">
            <w:pPr>
              <w:jc w:val="center"/>
              <w:rPr>
                <w:b/>
                <w:bCs/>
                <w:sz w:val="24"/>
                <w:szCs w:val="24"/>
              </w:rPr>
            </w:pPr>
            <w:r w:rsidRPr="00F21944">
              <w:rPr>
                <w:b/>
                <w:bCs/>
                <w:sz w:val="24"/>
                <w:szCs w:val="24"/>
              </w:rPr>
              <w:t>3</w:t>
            </w:r>
          </w:p>
        </w:tc>
        <w:tc>
          <w:tcPr>
            <w:tcW w:w="1560" w:type="dxa"/>
            <w:shd w:val="clear" w:color="auto" w:fill="D9D9D9" w:themeFill="background1" w:themeFillShade="D9"/>
            <w:vAlign w:val="center"/>
          </w:tcPr>
          <w:p w14:paraId="58B0F712" w14:textId="77777777" w:rsidR="007436ED" w:rsidRPr="00F21944" w:rsidRDefault="007436ED" w:rsidP="003237F2">
            <w:pPr>
              <w:jc w:val="center"/>
              <w:rPr>
                <w:b/>
                <w:bCs/>
                <w:sz w:val="24"/>
                <w:szCs w:val="24"/>
              </w:rPr>
            </w:pPr>
            <w:r w:rsidRPr="00F21944">
              <w:rPr>
                <w:b/>
                <w:bCs/>
                <w:sz w:val="24"/>
                <w:szCs w:val="24"/>
              </w:rPr>
              <w:t>4</w:t>
            </w:r>
          </w:p>
        </w:tc>
      </w:tr>
      <w:tr w:rsidR="007436ED" w:rsidRPr="00F21944" w14:paraId="4D0FA056" w14:textId="77777777" w:rsidTr="00CB64CD">
        <w:trPr>
          <w:cantSplit/>
          <w:trHeight w:val="425"/>
        </w:trPr>
        <w:tc>
          <w:tcPr>
            <w:tcW w:w="14034" w:type="dxa"/>
            <w:gridSpan w:val="4"/>
            <w:vAlign w:val="center"/>
          </w:tcPr>
          <w:p w14:paraId="5248C738" w14:textId="77777777" w:rsidR="007436ED" w:rsidRPr="005F221D" w:rsidRDefault="007436ED" w:rsidP="005F221D">
            <w:pPr>
              <w:jc w:val="center"/>
              <w:rPr>
                <w:b/>
                <w:bCs/>
                <w:i/>
                <w:iCs/>
                <w:sz w:val="24"/>
                <w:szCs w:val="24"/>
              </w:rPr>
            </w:pPr>
            <w:r w:rsidRPr="005F221D">
              <w:rPr>
                <w:b/>
                <w:bCs/>
                <w:i/>
                <w:iCs/>
                <w:sz w:val="24"/>
                <w:szCs w:val="24"/>
              </w:rPr>
              <w:t>1. Darba aizsardzība</w:t>
            </w:r>
            <w:r w:rsidR="005F221D" w:rsidRPr="005F221D">
              <w:rPr>
                <w:b/>
                <w:bCs/>
                <w:i/>
                <w:iCs/>
                <w:sz w:val="24"/>
                <w:szCs w:val="24"/>
              </w:rPr>
              <w:t>; apmācība tiek organizēta atbilstoši MK noteikumiem Nr.749-10.08.2010. „</w:t>
            </w:r>
            <w:r w:rsidR="005F221D" w:rsidRPr="005F221D">
              <w:rPr>
                <w:b/>
                <w:bCs/>
                <w:i/>
                <w:sz w:val="24"/>
                <w:szCs w:val="24"/>
                <w:shd w:val="clear" w:color="auto" w:fill="FFFFFF"/>
              </w:rPr>
              <w:t>Apmācības kārtība darba aizsardzības jautājumos”</w:t>
            </w:r>
          </w:p>
        </w:tc>
      </w:tr>
      <w:tr w:rsidR="007436ED" w:rsidRPr="00F21944" w14:paraId="71FA3E97" w14:textId="77777777" w:rsidTr="00CB64CD">
        <w:tc>
          <w:tcPr>
            <w:tcW w:w="709" w:type="dxa"/>
          </w:tcPr>
          <w:p w14:paraId="6B86D9C8" w14:textId="77777777" w:rsidR="007436ED" w:rsidRPr="00CE448A" w:rsidRDefault="007436ED" w:rsidP="003237F2">
            <w:pPr>
              <w:rPr>
                <w:sz w:val="24"/>
                <w:szCs w:val="24"/>
              </w:rPr>
            </w:pPr>
            <w:r w:rsidRPr="00CE448A">
              <w:rPr>
                <w:sz w:val="24"/>
                <w:szCs w:val="24"/>
              </w:rPr>
              <w:t>1.1.</w:t>
            </w:r>
          </w:p>
        </w:tc>
        <w:tc>
          <w:tcPr>
            <w:tcW w:w="10631" w:type="dxa"/>
          </w:tcPr>
          <w:p w14:paraId="2F5DC5FE" w14:textId="77777777" w:rsidR="007436ED" w:rsidRPr="00CE448A" w:rsidRDefault="0036194D" w:rsidP="003237F2">
            <w:pPr>
              <w:rPr>
                <w:sz w:val="24"/>
                <w:szCs w:val="24"/>
                <w:u w:val="single"/>
              </w:rPr>
            </w:pPr>
            <w:proofErr w:type="spellStart"/>
            <w:r w:rsidRPr="00CE448A">
              <w:rPr>
                <w:sz w:val="24"/>
                <w:szCs w:val="24"/>
                <w:u w:val="single"/>
              </w:rPr>
              <w:t>Ievadapmācība</w:t>
            </w:r>
            <w:proofErr w:type="spellEnd"/>
          </w:p>
          <w:p w14:paraId="3B817053" w14:textId="77777777" w:rsidR="007436ED" w:rsidRPr="00CE448A" w:rsidRDefault="0036194D" w:rsidP="00192E73">
            <w:pPr>
              <w:jc w:val="both"/>
              <w:rPr>
                <w:sz w:val="24"/>
                <w:szCs w:val="24"/>
                <w:shd w:val="clear" w:color="auto" w:fill="FFFFFF"/>
              </w:rPr>
            </w:pPr>
            <w:proofErr w:type="spellStart"/>
            <w:r w:rsidRPr="00CE448A">
              <w:rPr>
                <w:sz w:val="24"/>
                <w:szCs w:val="24"/>
                <w:shd w:val="clear" w:color="auto" w:fill="FFFFFF"/>
              </w:rPr>
              <w:t>Ievadapmācībā</w:t>
            </w:r>
            <w:proofErr w:type="spellEnd"/>
            <w:r w:rsidRPr="00CE448A">
              <w:rPr>
                <w:sz w:val="24"/>
                <w:szCs w:val="24"/>
                <w:shd w:val="clear" w:color="auto" w:fill="FFFFFF"/>
              </w:rPr>
              <w:t xml:space="preserve"> nodarbinātos iepazīstina ar darba aizsardzību uzņēmumā. </w:t>
            </w:r>
            <w:proofErr w:type="spellStart"/>
            <w:r w:rsidRPr="00CE448A">
              <w:rPr>
                <w:sz w:val="24"/>
                <w:szCs w:val="24"/>
                <w:shd w:val="clear" w:color="auto" w:fill="FFFFFF"/>
              </w:rPr>
              <w:t>Ievadapmācīb</w:t>
            </w:r>
            <w:r w:rsidR="00192E73" w:rsidRPr="00CE448A">
              <w:rPr>
                <w:sz w:val="24"/>
                <w:szCs w:val="24"/>
                <w:shd w:val="clear" w:color="auto" w:fill="FFFFFF"/>
              </w:rPr>
              <w:t>a</w:t>
            </w:r>
            <w:proofErr w:type="spellEnd"/>
            <w:r w:rsidRPr="00CE448A">
              <w:rPr>
                <w:sz w:val="24"/>
                <w:szCs w:val="24"/>
                <w:shd w:val="clear" w:color="auto" w:fill="FFFFFF"/>
              </w:rPr>
              <w:t xml:space="preserve"> tiek nodrošin</w:t>
            </w:r>
            <w:r w:rsidR="00192E73" w:rsidRPr="00CE448A">
              <w:rPr>
                <w:sz w:val="24"/>
                <w:szCs w:val="24"/>
                <w:shd w:val="clear" w:color="auto" w:fill="FFFFFF"/>
              </w:rPr>
              <w:t>āta</w:t>
            </w:r>
            <w:r w:rsidRPr="00CE448A">
              <w:rPr>
                <w:sz w:val="24"/>
                <w:szCs w:val="24"/>
                <w:shd w:val="clear" w:color="auto" w:fill="FFFFFF"/>
              </w:rPr>
              <w:t xml:space="preserve"> visiem nodarbinātajiem neatkarīgi no to izglītības un darba stāža attiecīgajā profesijā vai amatā uzreiz pēc nodarbinātības uzsākšanas.</w:t>
            </w:r>
          </w:p>
          <w:p w14:paraId="6FBEEBD4" w14:textId="77777777" w:rsidR="00550D1B" w:rsidRPr="00CE448A" w:rsidRDefault="00550D1B" w:rsidP="00550D1B">
            <w:pPr>
              <w:pStyle w:val="tv213"/>
              <w:shd w:val="clear" w:color="auto" w:fill="FFFFFF"/>
              <w:spacing w:before="0" w:beforeAutospacing="0" w:after="0" w:afterAutospacing="0" w:line="265" w:lineRule="atLeast"/>
              <w:jc w:val="both"/>
            </w:pPr>
            <w:proofErr w:type="spellStart"/>
            <w:r w:rsidRPr="00CE448A">
              <w:t>Ievadapmācībā</w:t>
            </w:r>
            <w:proofErr w:type="spellEnd"/>
            <w:r w:rsidRPr="00CE448A">
              <w:t xml:space="preserve"> nodarbinātie iegūst šādas zināšanas:</w:t>
            </w:r>
          </w:p>
          <w:p w14:paraId="0A6A0F64" w14:textId="77777777" w:rsidR="00550D1B" w:rsidRPr="00CE448A" w:rsidRDefault="00550D1B" w:rsidP="00550D1B">
            <w:pPr>
              <w:pStyle w:val="tv213"/>
              <w:numPr>
                <w:ilvl w:val="0"/>
                <w:numId w:val="5"/>
              </w:numPr>
              <w:shd w:val="clear" w:color="auto" w:fill="FFFFFF"/>
              <w:spacing w:before="0" w:beforeAutospacing="0" w:after="0" w:afterAutospacing="0" w:line="265" w:lineRule="atLeast"/>
              <w:jc w:val="both"/>
            </w:pPr>
            <w:r w:rsidRPr="00CE448A">
              <w:t>uzņēmuma darbības veids un būtiskākie darba vides riska faktori;</w:t>
            </w:r>
          </w:p>
          <w:p w14:paraId="21DD2E0C" w14:textId="77777777" w:rsidR="00550D1B" w:rsidRPr="00CE448A" w:rsidRDefault="00550D1B" w:rsidP="00550D1B">
            <w:pPr>
              <w:pStyle w:val="tv213"/>
              <w:numPr>
                <w:ilvl w:val="0"/>
                <w:numId w:val="5"/>
              </w:numPr>
              <w:shd w:val="clear" w:color="auto" w:fill="FFFFFF"/>
              <w:spacing w:before="0" w:beforeAutospacing="0" w:after="0" w:afterAutospacing="0" w:line="265" w:lineRule="atLeast"/>
              <w:jc w:val="both"/>
            </w:pPr>
            <w:r w:rsidRPr="00CE448A">
              <w:t>darba vides riska faktoru ietekme uz drošību un veselību;</w:t>
            </w:r>
          </w:p>
          <w:p w14:paraId="3D3C371C" w14:textId="77777777" w:rsidR="00550D1B" w:rsidRPr="00CE448A" w:rsidRDefault="00550D1B" w:rsidP="00550D1B">
            <w:pPr>
              <w:pStyle w:val="tv213"/>
              <w:numPr>
                <w:ilvl w:val="0"/>
                <w:numId w:val="5"/>
              </w:numPr>
              <w:shd w:val="clear" w:color="auto" w:fill="FFFFFF"/>
              <w:spacing w:before="0" w:beforeAutospacing="0" w:after="0" w:afterAutospacing="0" w:line="265" w:lineRule="atLeast"/>
              <w:jc w:val="both"/>
            </w:pPr>
            <w:r w:rsidRPr="00CE448A">
              <w:t>uzņēmuma darba kārtības noteikumi;</w:t>
            </w:r>
          </w:p>
          <w:p w14:paraId="4A1B0237" w14:textId="77777777" w:rsidR="00550D1B" w:rsidRPr="00CE448A" w:rsidRDefault="00550D1B" w:rsidP="00550D1B">
            <w:pPr>
              <w:pStyle w:val="tv213"/>
              <w:numPr>
                <w:ilvl w:val="0"/>
                <w:numId w:val="5"/>
              </w:numPr>
              <w:shd w:val="clear" w:color="auto" w:fill="FFFFFF"/>
              <w:spacing w:before="0" w:beforeAutospacing="0" w:after="0" w:afterAutospacing="0" w:line="265" w:lineRule="atLeast"/>
              <w:jc w:val="both"/>
            </w:pPr>
            <w:r w:rsidRPr="00CE448A">
              <w:t>darba aizsardzības sistēma uzņēmumā;</w:t>
            </w:r>
          </w:p>
          <w:p w14:paraId="0930D80B" w14:textId="77777777" w:rsidR="00550D1B" w:rsidRPr="00CE448A" w:rsidRDefault="00550D1B" w:rsidP="00550D1B">
            <w:pPr>
              <w:pStyle w:val="tv213"/>
              <w:numPr>
                <w:ilvl w:val="0"/>
                <w:numId w:val="5"/>
              </w:numPr>
              <w:shd w:val="clear" w:color="auto" w:fill="FFFFFF"/>
              <w:spacing w:before="0" w:beforeAutospacing="0" w:after="0" w:afterAutospacing="0" w:line="265" w:lineRule="atLeast"/>
              <w:jc w:val="both"/>
            </w:pPr>
            <w:r w:rsidRPr="00CE448A">
              <w:t>obligāto veselības pārbaužu nozīme un to veikšanas kārtība;</w:t>
            </w:r>
          </w:p>
          <w:p w14:paraId="31DCCC3A" w14:textId="77777777" w:rsidR="00550D1B" w:rsidRPr="00CE448A" w:rsidRDefault="00550D1B" w:rsidP="00550D1B">
            <w:pPr>
              <w:pStyle w:val="tv213"/>
              <w:numPr>
                <w:ilvl w:val="0"/>
                <w:numId w:val="5"/>
              </w:numPr>
              <w:shd w:val="clear" w:color="auto" w:fill="FFFFFF"/>
              <w:spacing w:before="0" w:beforeAutospacing="0" w:after="0" w:afterAutospacing="0" w:line="265" w:lineRule="atLeast"/>
              <w:jc w:val="both"/>
            </w:pPr>
            <w:r w:rsidRPr="00CE448A">
              <w:t>drošības zīmes;</w:t>
            </w:r>
          </w:p>
          <w:p w14:paraId="7E93A9AE" w14:textId="77777777" w:rsidR="00550D1B" w:rsidRPr="00CE448A" w:rsidRDefault="00550D1B" w:rsidP="00550D1B">
            <w:pPr>
              <w:pStyle w:val="tv213"/>
              <w:numPr>
                <w:ilvl w:val="0"/>
                <w:numId w:val="5"/>
              </w:numPr>
              <w:shd w:val="clear" w:color="auto" w:fill="FFFFFF"/>
              <w:spacing w:before="0" w:beforeAutospacing="0" w:after="0" w:afterAutospacing="0" w:line="265" w:lineRule="atLeast"/>
              <w:jc w:val="both"/>
            </w:pPr>
            <w:r w:rsidRPr="00CE448A">
              <w:t>nodarbināto tiesības un pienākumi;</w:t>
            </w:r>
          </w:p>
          <w:p w14:paraId="01E16589" w14:textId="77777777" w:rsidR="00550D1B" w:rsidRPr="00CE448A" w:rsidRDefault="00550D1B" w:rsidP="00550D1B">
            <w:pPr>
              <w:pStyle w:val="tv213"/>
              <w:numPr>
                <w:ilvl w:val="0"/>
                <w:numId w:val="5"/>
              </w:numPr>
              <w:shd w:val="clear" w:color="auto" w:fill="FFFFFF"/>
              <w:spacing w:before="0" w:beforeAutospacing="0" w:after="0" w:afterAutospacing="0" w:line="265" w:lineRule="atLeast"/>
              <w:jc w:val="both"/>
            </w:pPr>
            <w:r w:rsidRPr="00CE448A">
              <w:t>nodarbināto pārstāvniecība;</w:t>
            </w:r>
          </w:p>
          <w:p w14:paraId="3F00ECD8" w14:textId="77777777" w:rsidR="007E28BB" w:rsidRPr="00CE448A" w:rsidRDefault="00550D1B" w:rsidP="007E28BB">
            <w:pPr>
              <w:pStyle w:val="tv213"/>
              <w:numPr>
                <w:ilvl w:val="0"/>
                <w:numId w:val="5"/>
              </w:numPr>
              <w:shd w:val="clear" w:color="auto" w:fill="FFFFFF"/>
              <w:spacing w:before="0" w:beforeAutospacing="0" w:after="0" w:afterAutospacing="0" w:line="265" w:lineRule="atLeast"/>
              <w:jc w:val="both"/>
            </w:pPr>
            <w:r w:rsidRPr="00CE448A">
              <w:t>vispārīgās prasības rīcībai ārkārtas situācijās un notiekot nelaimes gadījumam darbā;</w:t>
            </w:r>
          </w:p>
          <w:p w14:paraId="218AFD87" w14:textId="77777777" w:rsidR="00550D1B" w:rsidRPr="00CE448A" w:rsidRDefault="00550D1B" w:rsidP="007E28BB">
            <w:pPr>
              <w:pStyle w:val="tv213"/>
              <w:numPr>
                <w:ilvl w:val="0"/>
                <w:numId w:val="5"/>
              </w:numPr>
              <w:shd w:val="clear" w:color="auto" w:fill="FFFFFF"/>
              <w:spacing w:before="0" w:beforeAutospacing="0" w:after="0" w:afterAutospacing="0" w:line="265" w:lineRule="atLeast"/>
              <w:jc w:val="both"/>
            </w:pPr>
            <w:r w:rsidRPr="00CE448A">
              <w:t>citi darba aizsardzības jautājumi.</w:t>
            </w:r>
          </w:p>
        </w:tc>
        <w:tc>
          <w:tcPr>
            <w:tcW w:w="1134" w:type="dxa"/>
          </w:tcPr>
          <w:p w14:paraId="6C2CF377" w14:textId="77777777" w:rsidR="007436ED" w:rsidRPr="0024329E" w:rsidRDefault="007436ED" w:rsidP="003237F2">
            <w:pPr>
              <w:jc w:val="center"/>
              <w:rPr>
                <w:sz w:val="24"/>
                <w:szCs w:val="24"/>
              </w:rPr>
            </w:pPr>
            <w:r>
              <w:rPr>
                <w:sz w:val="24"/>
                <w:szCs w:val="24"/>
              </w:rPr>
              <w:t>1</w:t>
            </w:r>
          </w:p>
        </w:tc>
        <w:tc>
          <w:tcPr>
            <w:tcW w:w="1560" w:type="dxa"/>
          </w:tcPr>
          <w:p w14:paraId="13850AC1" w14:textId="77777777" w:rsidR="007436ED" w:rsidRPr="0024329E" w:rsidRDefault="000305D2" w:rsidP="003237F2">
            <w:pPr>
              <w:jc w:val="center"/>
              <w:rPr>
                <w:sz w:val="24"/>
                <w:szCs w:val="24"/>
              </w:rPr>
            </w:pPr>
            <w:r>
              <w:rPr>
                <w:sz w:val="24"/>
                <w:szCs w:val="24"/>
              </w:rPr>
              <w:t>Darba</w:t>
            </w:r>
            <w:r w:rsidRPr="0024329E">
              <w:rPr>
                <w:sz w:val="24"/>
                <w:szCs w:val="24"/>
              </w:rPr>
              <w:t xml:space="preserve"> aizsardzības speciālists</w:t>
            </w:r>
            <w:r>
              <w:rPr>
                <w:sz w:val="24"/>
                <w:szCs w:val="24"/>
              </w:rPr>
              <w:t xml:space="preserve"> vai kompetenta institūcija</w:t>
            </w:r>
          </w:p>
        </w:tc>
      </w:tr>
      <w:tr w:rsidR="007436ED" w:rsidRPr="00F21944" w14:paraId="046DDDA9" w14:textId="77777777" w:rsidTr="00CB64CD">
        <w:trPr>
          <w:trHeight w:val="556"/>
        </w:trPr>
        <w:tc>
          <w:tcPr>
            <w:tcW w:w="709" w:type="dxa"/>
          </w:tcPr>
          <w:p w14:paraId="284014B4" w14:textId="77777777" w:rsidR="007436ED" w:rsidRPr="00CE448A" w:rsidRDefault="007436ED" w:rsidP="003237F2">
            <w:pPr>
              <w:rPr>
                <w:sz w:val="24"/>
                <w:szCs w:val="24"/>
              </w:rPr>
            </w:pPr>
            <w:r w:rsidRPr="00CE448A">
              <w:rPr>
                <w:sz w:val="24"/>
                <w:szCs w:val="24"/>
              </w:rPr>
              <w:t>1.2.</w:t>
            </w:r>
          </w:p>
        </w:tc>
        <w:tc>
          <w:tcPr>
            <w:tcW w:w="10631" w:type="dxa"/>
          </w:tcPr>
          <w:p w14:paraId="3D66FBF5" w14:textId="77777777" w:rsidR="007436ED" w:rsidRPr="00D1127E" w:rsidRDefault="00E251DF" w:rsidP="003237F2">
            <w:pPr>
              <w:rPr>
                <w:sz w:val="24"/>
                <w:szCs w:val="24"/>
                <w:u w:val="single"/>
              </w:rPr>
            </w:pPr>
            <w:r w:rsidRPr="00D1127E">
              <w:rPr>
                <w:sz w:val="24"/>
                <w:szCs w:val="24"/>
                <w:u w:val="single"/>
              </w:rPr>
              <w:t>Instruktāžas darba vietā</w:t>
            </w:r>
          </w:p>
          <w:p w14:paraId="32DCB32E" w14:textId="77777777" w:rsidR="001029B9" w:rsidRPr="00D1127E" w:rsidRDefault="00FB0F41" w:rsidP="00FB0F41">
            <w:pPr>
              <w:pStyle w:val="tv213"/>
              <w:shd w:val="clear" w:color="auto" w:fill="FFFFFF"/>
              <w:spacing w:before="0" w:beforeAutospacing="0" w:after="0" w:afterAutospacing="0" w:line="265" w:lineRule="atLeast"/>
              <w:jc w:val="both"/>
            </w:pPr>
            <w:r w:rsidRPr="00D1127E">
              <w:rPr>
                <w:i/>
              </w:rPr>
              <w:t>1.</w:t>
            </w:r>
            <w:r w:rsidR="00E251DF" w:rsidRPr="00D1127E">
              <w:rPr>
                <w:i/>
              </w:rPr>
              <w:t xml:space="preserve">sākotnējā </w:t>
            </w:r>
            <w:r w:rsidR="00D42B6E" w:rsidRPr="00D1127E">
              <w:rPr>
                <w:i/>
              </w:rPr>
              <w:t>instruktāža</w:t>
            </w:r>
            <w:r w:rsidR="00D42B6E" w:rsidRPr="00D1127E">
              <w:t xml:space="preserve"> </w:t>
            </w:r>
            <w:r w:rsidR="00E251DF" w:rsidRPr="00D1127E">
              <w:t xml:space="preserve">– </w:t>
            </w:r>
            <w:r w:rsidR="00D42B6E" w:rsidRPr="00D1127E">
              <w:t>tiek veikta</w:t>
            </w:r>
            <w:r w:rsidR="00FF6576">
              <w:t>,</w:t>
            </w:r>
            <w:r w:rsidR="00D42B6E" w:rsidRPr="00D1127E">
              <w:t xml:space="preserve"> </w:t>
            </w:r>
            <w:r w:rsidR="00E251DF" w:rsidRPr="00D1127E">
              <w:t>uzsākot darbu</w:t>
            </w:r>
            <w:r w:rsidR="00E34236" w:rsidRPr="00D1127E">
              <w:t>. Sākotnējo instruktāžu darba vietā nodrošina nodarbinātajiem, kuri uzsāk darba vai amata pienākumu pildīšanu darba vietā</w:t>
            </w:r>
            <w:r w:rsidR="002C4210" w:rsidRPr="00D1127E">
              <w:t xml:space="preserve">, darbiniekiem, kuri </w:t>
            </w:r>
            <w:r w:rsidR="00E34236" w:rsidRPr="00D1127E">
              <w:t>ir norīkoti citā darba</w:t>
            </w:r>
            <w:r w:rsidR="002C4210" w:rsidRPr="00D1127E">
              <w:t xml:space="preserve"> vietā vai cita darba veikšanai, darbiniekiem, kuri ir </w:t>
            </w:r>
            <w:r w:rsidR="00E34236" w:rsidRPr="00D1127E">
              <w:t>nosūtīti vai ieradušies komandējumā</w:t>
            </w:r>
            <w:r w:rsidR="002C4210" w:rsidRPr="00D1127E">
              <w:t xml:space="preserve">, kā arī darbiniekiem, kuri </w:t>
            </w:r>
            <w:r w:rsidR="00E34236" w:rsidRPr="00D1127E">
              <w:t>veic darbus cita uzņēmuma teritorijā.</w:t>
            </w:r>
          </w:p>
          <w:p w14:paraId="57D2C8FF" w14:textId="77777777" w:rsidR="00FB0F41" w:rsidRPr="00D1127E" w:rsidRDefault="00FB0F41" w:rsidP="00FB0F41">
            <w:pPr>
              <w:pStyle w:val="tv213"/>
              <w:shd w:val="clear" w:color="auto" w:fill="FFFFFF"/>
              <w:spacing w:before="0" w:beforeAutospacing="0" w:after="0" w:afterAutospacing="0" w:line="265" w:lineRule="atLeast"/>
              <w:jc w:val="both"/>
            </w:pPr>
            <w:r w:rsidRPr="00D1127E">
              <w:t>Sākotnējā instruktāžā nodarbinātie tiek instruēti par šādiem jautājumiem:</w:t>
            </w:r>
          </w:p>
          <w:p w14:paraId="4C75BDF2" w14:textId="77777777" w:rsidR="00FB0F41" w:rsidRPr="00D1127E" w:rsidRDefault="00FB0F41" w:rsidP="00FB0F41">
            <w:pPr>
              <w:pStyle w:val="tv213"/>
              <w:numPr>
                <w:ilvl w:val="0"/>
                <w:numId w:val="7"/>
              </w:numPr>
              <w:shd w:val="clear" w:color="auto" w:fill="FFFFFF"/>
              <w:spacing w:before="0" w:beforeAutospacing="0" w:after="0" w:afterAutospacing="0" w:line="265" w:lineRule="atLeast"/>
              <w:jc w:val="both"/>
            </w:pPr>
            <w:r w:rsidRPr="00D1127E">
              <w:t>visp</w:t>
            </w:r>
            <w:r w:rsidR="00D42B6E" w:rsidRPr="00D1127E">
              <w:t xml:space="preserve">ārīga informācija par konkrēto </w:t>
            </w:r>
            <w:r w:rsidRPr="00D1127E">
              <w:t>objektu, tehnoloģisko procesu un iekārtām, darba un darba vietas organizāciju;</w:t>
            </w:r>
          </w:p>
          <w:p w14:paraId="5C04C88D" w14:textId="77777777" w:rsidR="00FB0F41" w:rsidRPr="00D1127E" w:rsidRDefault="00FB0F41" w:rsidP="00FB0F41">
            <w:pPr>
              <w:pStyle w:val="tv213"/>
              <w:numPr>
                <w:ilvl w:val="0"/>
                <w:numId w:val="7"/>
              </w:numPr>
              <w:shd w:val="clear" w:color="auto" w:fill="FFFFFF"/>
              <w:spacing w:before="0" w:beforeAutospacing="0" w:after="0" w:afterAutospacing="0" w:line="265" w:lineRule="atLeast"/>
              <w:jc w:val="both"/>
            </w:pPr>
            <w:r w:rsidRPr="00D1127E">
              <w:t>nodarbināto drošas pārvietošanās (maršruta) shēma objekta teritorijā;</w:t>
            </w:r>
          </w:p>
          <w:p w14:paraId="3E8EA8AF" w14:textId="77777777" w:rsidR="00FB0F41" w:rsidRPr="00D1127E" w:rsidRDefault="00FB0F41" w:rsidP="00FB0F41">
            <w:pPr>
              <w:pStyle w:val="tv213"/>
              <w:numPr>
                <w:ilvl w:val="0"/>
                <w:numId w:val="7"/>
              </w:numPr>
              <w:shd w:val="clear" w:color="auto" w:fill="FFFFFF"/>
              <w:spacing w:before="0" w:beforeAutospacing="0" w:after="0" w:afterAutospacing="0" w:line="265" w:lineRule="atLeast"/>
              <w:jc w:val="both"/>
            </w:pPr>
            <w:r w:rsidRPr="00D1127E">
              <w:t>konkrētās darba vietas vai darba veida raksturīgie darba vides riska faktori;</w:t>
            </w:r>
          </w:p>
          <w:p w14:paraId="01EA04CA" w14:textId="77777777" w:rsidR="00FB0F41" w:rsidRPr="00D1127E" w:rsidRDefault="00FB0F41" w:rsidP="00FB0F41">
            <w:pPr>
              <w:pStyle w:val="tv213"/>
              <w:numPr>
                <w:ilvl w:val="0"/>
                <w:numId w:val="7"/>
              </w:numPr>
              <w:shd w:val="clear" w:color="auto" w:fill="FFFFFF"/>
              <w:spacing w:before="0" w:beforeAutospacing="0" w:after="0" w:afterAutospacing="0" w:line="265" w:lineRule="atLeast"/>
              <w:jc w:val="both"/>
            </w:pPr>
            <w:r w:rsidRPr="00D1127E">
              <w:t>darba vides riska faktoru ietekme uz veselību un drošību;</w:t>
            </w:r>
          </w:p>
          <w:p w14:paraId="09C66A3D" w14:textId="77777777" w:rsidR="00FB0F41" w:rsidRPr="00D1127E" w:rsidRDefault="00FB0F41" w:rsidP="00FB0F41">
            <w:pPr>
              <w:pStyle w:val="tv213"/>
              <w:numPr>
                <w:ilvl w:val="0"/>
                <w:numId w:val="7"/>
              </w:numPr>
              <w:shd w:val="clear" w:color="auto" w:fill="FFFFFF"/>
              <w:spacing w:before="0" w:beforeAutospacing="0" w:after="0" w:afterAutospacing="0" w:line="265" w:lineRule="atLeast"/>
              <w:jc w:val="both"/>
            </w:pPr>
            <w:r w:rsidRPr="00D1127E">
              <w:lastRenderedPageBreak/>
              <w:t>drošas darba metodes;</w:t>
            </w:r>
          </w:p>
          <w:p w14:paraId="1BE66A20" w14:textId="77777777" w:rsidR="00FB0F41" w:rsidRPr="00D1127E" w:rsidRDefault="00FB0F41" w:rsidP="00FB0F41">
            <w:pPr>
              <w:pStyle w:val="tv213"/>
              <w:numPr>
                <w:ilvl w:val="0"/>
                <w:numId w:val="7"/>
              </w:numPr>
              <w:shd w:val="clear" w:color="auto" w:fill="FFFFFF"/>
              <w:spacing w:before="0" w:beforeAutospacing="0" w:after="0" w:afterAutospacing="0" w:line="265" w:lineRule="atLeast"/>
              <w:jc w:val="both"/>
            </w:pPr>
            <w:r w:rsidRPr="00D1127E">
              <w:t>darba aprīkojuma lietošana;</w:t>
            </w:r>
          </w:p>
          <w:p w14:paraId="71820E6D" w14:textId="77777777" w:rsidR="00FB0F41" w:rsidRPr="00D1127E" w:rsidRDefault="00FB0F41" w:rsidP="00FB0F41">
            <w:pPr>
              <w:pStyle w:val="tv213"/>
              <w:numPr>
                <w:ilvl w:val="0"/>
                <w:numId w:val="7"/>
              </w:numPr>
              <w:shd w:val="clear" w:color="auto" w:fill="FFFFFF"/>
              <w:spacing w:before="0" w:beforeAutospacing="0" w:after="0" w:afterAutospacing="0" w:line="265" w:lineRule="atLeast"/>
              <w:jc w:val="both"/>
            </w:pPr>
            <w:r w:rsidRPr="00D1127E">
              <w:t>individuālo aizsardzības līdzekļu lietošana;</w:t>
            </w:r>
          </w:p>
          <w:p w14:paraId="25706120" w14:textId="77777777" w:rsidR="00FB0F41" w:rsidRPr="00D1127E" w:rsidRDefault="00FB0F41" w:rsidP="00FB0F41">
            <w:pPr>
              <w:pStyle w:val="tv213"/>
              <w:numPr>
                <w:ilvl w:val="0"/>
                <w:numId w:val="7"/>
              </w:numPr>
              <w:shd w:val="clear" w:color="auto" w:fill="FFFFFF"/>
              <w:spacing w:before="0" w:beforeAutospacing="0" w:after="0" w:afterAutospacing="0" w:line="265" w:lineRule="atLeast"/>
              <w:jc w:val="both"/>
            </w:pPr>
            <w:r w:rsidRPr="00D1127E">
              <w:t>rīcība ārkārtas situācijās un notiekot nelaimes gadījumam darbā;</w:t>
            </w:r>
          </w:p>
          <w:p w14:paraId="634ACBAF" w14:textId="77777777" w:rsidR="00FB0F41" w:rsidRPr="00D1127E" w:rsidRDefault="00FB0F41" w:rsidP="00FB0F41">
            <w:pPr>
              <w:pStyle w:val="tv213"/>
              <w:numPr>
                <w:ilvl w:val="0"/>
                <w:numId w:val="7"/>
              </w:numPr>
              <w:shd w:val="clear" w:color="auto" w:fill="FFFFFF"/>
              <w:spacing w:before="0" w:beforeAutospacing="0" w:after="0" w:afterAutospacing="0" w:line="265" w:lineRule="atLeast"/>
              <w:jc w:val="both"/>
            </w:pPr>
            <w:r w:rsidRPr="00D1127E">
              <w:t>drošības zīmes konkrētajā darba vietā;</w:t>
            </w:r>
          </w:p>
          <w:p w14:paraId="4774E838" w14:textId="77777777" w:rsidR="00FB0F41" w:rsidRPr="00D1127E" w:rsidRDefault="00FB0F41" w:rsidP="00FB0F41">
            <w:pPr>
              <w:pStyle w:val="tv213"/>
              <w:numPr>
                <w:ilvl w:val="0"/>
                <w:numId w:val="7"/>
              </w:numPr>
              <w:shd w:val="clear" w:color="auto" w:fill="FFFFFF"/>
              <w:spacing w:before="0" w:beforeAutospacing="0" w:after="0" w:afterAutospacing="0" w:line="265" w:lineRule="atLeast"/>
              <w:jc w:val="both"/>
            </w:pPr>
            <w:r w:rsidRPr="00D1127E">
              <w:t>darba aizsardzības pasākumi;</w:t>
            </w:r>
          </w:p>
          <w:p w14:paraId="6AFD788B" w14:textId="77777777" w:rsidR="00430371" w:rsidRPr="00D1127E" w:rsidRDefault="00430371" w:rsidP="00FB0F41">
            <w:pPr>
              <w:pStyle w:val="tv213"/>
              <w:numPr>
                <w:ilvl w:val="0"/>
                <w:numId w:val="7"/>
              </w:numPr>
              <w:shd w:val="clear" w:color="auto" w:fill="FFFFFF"/>
              <w:spacing w:before="0" w:beforeAutospacing="0" w:after="0" w:afterAutospacing="0" w:line="265" w:lineRule="atLeast"/>
              <w:jc w:val="both"/>
            </w:pPr>
            <w:r w:rsidRPr="00D1127E">
              <w:t>ugunsdrošība;</w:t>
            </w:r>
          </w:p>
          <w:p w14:paraId="19066249" w14:textId="77777777" w:rsidR="00430371" w:rsidRPr="00D1127E" w:rsidRDefault="00430371" w:rsidP="00FB0F41">
            <w:pPr>
              <w:pStyle w:val="tv213"/>
              <w:numPr>
                <w:ilvl w:val="0"/>
                <w:numId w:val="7"/>
              </w:numPr>
              <w:shd w:val="clear" w:color="auto" w:fill="FFFFFF"/>
              <w:spacing w:before="0" w:beforeAutospacing="0" w:after="0" w:afterAutospacing="0" w:line="265" w:lineRule="atLeast"/>
              <w:jc w:val="both"/>
            </w:pPr>
            <w:r w:rsidRPr="00D1127E">
              <w:t>elektrodrošība;</w:t>
            </w:r>
          </w:p>
          <w:p w14:paraId="24F552AD" w14:textId="77777777" w:rsidR="00FB0F41" w:rsidRPr="00D1127E" w:rsidRDefault="00FB0F41" w:rsidP="00FB0F41">
            <w:pPr>
              <w:pStyle w:val="tv213"/>
              <w:numPr>
                <w:ilvl w:val="0"/>
                <w:numId w:val="7"/>
              </w:numPr>
              <w:shd w:val="clear" w:color="auto" w:fill="FFFFFF"/>
              <w:spacing w:before="0" w:beforeAutospacing="0" w:after="0" w:afterAutospacing="0" w:line="265" w:lineRule="atLeast"/>
              <w:jc w:val="both"/>
            </w:pPr>
            <w:r w:rsidRPr="00D1127E">
              <w:t>citi darba aizsardzības jautājumi.</w:t>
            </w:r>
          </w:p>
          <w:p w14:paraId="72718D9D" w14:textId="77777777" w:rsidR="00FB0F41" w:rsidRPr="00D1127E" w:rsidRDefault="00FB0F41" w:rsidP="00FB0F41">
            <w:pPr>
              <w:pStyle w:val="tv213"/>
              <w:shd w:val="clear" w:color="auto" w:fill="FFFFFF"/>
              <w:spacing w:before="0" w:beforeAutospacing="0" w:after="0" w:afterAutospacing="0" w:line="265" w:lineRule="atLeast"/>
              <w:jc w:val="both"/>
            </w:pPr>
          </w:p>
          <w:p w14:paraId="0952A6EA" w14:textId="77777777" w:rsidR="001029B9" w:rsidRPr="00D1127E" w:rsidRDefault="00FB0F41" w:rsidP="00FB0F41">
            <w:pPr>
              <w:pStyle w:val="tv213"/>
              <w:shd w:val="clear" w:color="auto" w:fill="FFFFFF"/>
              <w:spacing w:before="0" w:beforeAutospacing="0" w:after="0" w:afterAutospacing="0" w:line="265" w:lineRule="atLeast"/>
              <w:jc w:val="both"/>
              <w:rPr>
                <w:shd w:val="clear" w:color="auto" w:fill="FFFFFF"/>
              </w:rPr>
            </w:pPr>
            <w:r w:rsidRPr="00D1127E">
              <w:rPr>
                <w:i/>
              </w:rPr>
              <w:t>2.</w:t>
            </w:r>
            <w:r w:rsidR="00E251DF" w:rsidRPr="00D1127E">
              <w:rPr>
                <w:i/>
              </w:rPr>
              <w:t>atkārtot</w:t>
            </w:r>
            <w:r w:rsidR="001029B9" w:rsidRPr="00D1127E">
              <w:rPr>
                <w:i/>
              </w:rPr>
              <w:t>ā</w:t>
            </w:r>
            <w:r w:rsidR="00E251DF" w:rsidRPr="00D1127E">
              <w:rPr>
                <w:i/>
              </w:rPr>
              <w:t xml:space="preserve"> </w:t>
            </w:r>
            <w:r w:rsidR="00665EE9" w:rsidRPr="00D1127E">
              <w:rPr>
                <w:i/>
              </w:rPr>
              <w:t>instruktāža</w:t>
            </w:r>
            <w:r w:rsidR="00665EE9" w:rsidRPr="00D1127E">
              <w:t xml:space="preserve"> </w:t>
            </w:r>
            <w:r w:rsidR="00E251DF" w:rsidRPr="00D1127E">
              <w:t xml:space="preserve">– </w:t>
            </w:r>
            <w:r w:rsidR="004728CB" w:rsidRPr="00D1127E">
              <w:t xml:space="preserve">tiek veikta darba gaitā. Atkārtoto instruktāžu </w:t>
            </w:r>
            <w:r w:rsidR="004728CB" w:rsidRPr="00D1127E">
              <w:rPr>
                <w:shd w:val="clear" w:color="auto" w:fill="FFFFFF"/>
              </w:rPr>
              <w:t>veic, lai atgādinātu darba aizsardzības noteikumu un instrukciju prasības, pārbaudītu un paaugstinātu nodarbināto zināšanas.</w:t>
            </w:r>
            <w:r w:rsidR="00DD1E2F" w:rsidRPr="00D1127E">
              <w:rPr>
                <w:shd w:val="clear" w:color="auto" w:fill="FFFFFF"/>
              </w:rPr>
              <w:t xml:space="preserve"> Atkārtoto instruktāžu veic sākotnējās instruktāžas apjomā ne retāk kā reizi gadā, bet darbos ar bīstamām iekārtām, kā arī paaugstinātas bīstamības darbos (atbilstoši darba devēja apstiprinātajam sarakstam) – ne retāk kā reizi sešos mēnešos.</w:t>
            </w:r>
          </w:p>
          <w:p w14:paraId="42DA219F" w14:textId="77777777" w:rsidR="004728CB" w:rsidRPr="00D1127E" w:rsidRDefault="004728CB" w:rsidP="00FB0F41">
            <w:pPr>
              <w:pStyle w:val="tv213"/>
              <w:shd w:val="clear" w:color="auto" w:fill="FFFFFF"/>
              <w:spacing w:before="0" w:beforeAutospacing="0" w:after="0" w:afterAutospacing="0" w:line="265" w:lineRule="atLeast"/>
              <w:jc w:val="both"/>
              <w:rPr>
                <w:rFonts w:ascii="Arial" w:hAnsi="Arial" w:cs="Arial"/>
                <w:sz w:val="18"/>
                <w:szCs w:val="18"/>
              </w:rPr>
            </w:pPr>
          </w:p>
          <w:p w14:paraId="45489698" w14:textId="77777777" w:rsidR="00277CF1" w:rsidRPr="00D1127E" w:rsidRDefault="00FB0F41" w:rsidP="00277CF1">
            <w:pPr>
              <w:pStyle w:val="tv213"/>
              <w:shd w:val="clear" w:color="auto" w:fill="FFFFFF"/>
              <w:spacing w:before="0" w:beforeAutospacing="0" w:after="0" w:afterAutospacing="0" w:line="265" w:lineRule="atLeast"/>
              <w:jc w:val="both"/>
            </w:pPr>
            <w:r w:rsidRPr="00D1127E">
              <w:rPr>
                <w:i/>
              </w:rPr>
              <w:t>3.</w:t>
            </w:r>
            <w:r w:rsidR="00E251DF" w:rsidRPr="00D1127E">
              <w:rPr>
                <w:i/>
              </w:rPr>
              <w:t>neplānot</w:t>
            </w:r>
            <w:r w:rsidR="001029B9" w:rsidRPr="00D1127E">
              <w:rPr>
                <w:i/>
              </w:rPr>
              <w:t>ā</w:t>
            </w:r>
            <w:r w:rsidR="00277CF1" w:rsidRPr="00D1127E">
              <w:rPr>
                <w:i/>
              </w:rPr>
              <w:t xml:space="preserve"> instruktāža.</w:t>
            </w:r>
            <w:r w:rsidR="00277CF1" w:rsidRPr="00D1127E">
              <w:t xml:space="preserve"> Neplānoto instruktāžu organizē un, ja nepieciešams, instrukciju saturu pārskata (aktualizē), ja:</w:t>
            </w:r>
          </w:p>
          <w:p w14:paraId="0CC62A27" w14:textId="77777777" w:rsidR="00277CF1" w:rsidRPr="00D1127E" w:rsidRDefault="00277CF1" w:rsidP="00277CF1">
            <w:pPr>
              <w:pStyle w:val="tv213"/>
              <w:numPr>
                <w:ilvl w:val="0"/>
                <w:numId w:val="9"/>
              </w:numPr>
              <w:shd w:val="clear" w:color="auto" w:fill="FFFFFF"/>
              <w:spacing w:before="0" w:beforeAutospacing="0" w:after="0" w:afterAutospacing="0" w:line="265" w:lineRule="atLeast"/>
              <w:jc w:val="both"/>
            </w:pPr>
            <w:r w:rsidRPr="00D1127E">
              <w:t>nodarbinātajiem mainās darba apstākļi, darba raksturs, darba vieta, darba aprīkojums, tehnoloģiskais vai darba process vai rodas citi faktori, kas var ietekmēt nodarbinātā drošību;</w:t>
            </w:r>
          </w:p>
          <w:p w14:paraId="294BC0FC" w14:textId="77777777" w:rsidR="00277CF1" w:rsidRPr="00D1127E" w:rsidRDefault="00277CF1" w:rsidP="00277CF1">
            <w:pPr>
              <w:pStyle w:val="tv213"/>
              <w:numPr>
                <w:ilvl w:val="0"/>
                <w:numId w:val="9"/>
              </w:numPr>
              <w:shd w:val="clear" w:color="auto" w:fill="FFFFFF"/>
              <w:spacing w:before="0" w:beforeAutospacing="0" w:after="0" w:afterAutospacing="0" w:line="265" w:lineRule="atLeast"/>
              <w:jc w:val="both"/>
            </w:pPr>
            <w:r w:rsidRPr="00D1127E">
              <w:t>noticis nelaimes gadījums darbā vai konstatēta arodslimība (instruktāžu veic tiem nodarbinātajiem, kuriem ir līdzīgi darba apstākļi vai kuru darbs saistīts ar notikušo nelaimes gadījumu darbā vai konstatēto arodslimību);</w:t>
            </w:r>
          </w:p>
          <w:p w14:paraId="5A373A78" w14:textId="77777777" w:rsidR="00277CF1" w:rsidRPr="00D1127E" w:rsidRDefault="00277CF1" w:rsidP="00277CF1">
            <w:pPr>
              <w:pStyle w:val="tv213"/>
              <w:numPr>
                <w:ilvl w:val="0"/>
                <w:numId w:val="9"/>
              </w:numPr>
              <w:shd w:val="clear" w:color="auto" w:fill="FFFFFF"/>
              <w:spacing w:before="0" w:beforeAutospacing="0" w:after="0" w:afterAutospacing="0" w:line="265" w:lineRule="atLeast"/>
              <w:jc w:val="both"/>
            </w:pPr>
            <w:r w:rsidRPr="00D1127E">
              <w:t>nodarbinātais pārtraucis darbu uz laiku, kas ilgāks par 60 kalendāra dienām, bet darbos ar bīstamām iekārtām vai paaugstinātas bīstamības darbos – uz laiku, kas ilgāks par 45 kalendāra dienām.</w:t>
            </w:r>
          </w:p>
          <w:p w14:paraId="13CAECE8" w14:textId="77777777" w:rsidR="001029B9" w:rsidRPr="00D1127E" w:rsidRDefault="001029B9" w:rsidP="00FB0F41">
            <w:pPr>
              <w:pStyle w:val="tv213"/>
              <w:shd w:val="clear" w:color="auto" w:fill="FFFFFF"/>
              <w:spacing w:before="0" w:beforeAutospacing="0" w:after="0" w:afterAutospacing="0" w:line="265" w:lineRule="atLeast"/>
              <w:jc w:val="both"/>
            </w:pPr>
          </w:p>
          <w:p w14:paraId="6AEF358E" w14:textId="77777777" w:rsidR="001E316D" w:rsidRPr="00D1127E" w:rsidRDefault="00FB0F41" w:rsidP="001E316D">
            <w:pPr>
              <w:pStyle w:val="tv213"/>
              <w:shd w:val="clear" w:color="auto" w:fill="FFFFFF"/>
              <w:spacing w:before="0" w:beforeAutospacing="0" w:after="0" w:afterAutospacing="0" w:line="265" w:lineRule="atLeast"/>
              <w:jc w:val="both"/>
            </w:pPr>
            <w:r w:rsidRPr="00D1127E">
              <w:rPr>
                <w:i/>
              </w:rPr>
              <w:t>4.</w:t>
            </w:r>
            <w:r w:rsidR="00E251DF" w:rsidRPr="00D1127E">
              <w:rPr>
                <w:i/>
              </w:rPr>
              <w:t>mērķa instruktāž</w:t>
            </w:r>
            <w:r w:rsidR="001029B9" w:rsidRPr="00D1127E">
              <w:rPr>
                <w:i/>
              </w:rPr>
              <w:t>a.</w:t>
            </w:r>
            <w:r w:rsidR="001E316D" w:rsidRPr="00D1127E">
              <w:t xml:space="preserve"> Mērķa instruktāžu pirms darba uzsākšanas organizē nodarbinātajiem, kuri:</w:t>
            </w:r>
          </w:p>
          <w:p w14:paraId="75E6680B" w14:textId="77777777" w:rsidR="001E316D" w:rsidRPr="00D1127E" w:rsidRDefault="001E316D" w:rsidP="001E316D">
            <w:pPr>
              <w:pStyle w:val="tv213"/>
              <w:numPr>
                <w:ilvl w:val="0"/>
                <w:numId w:val="10"/>
              </w:numPr>
              <w:shd w:val="clear" w:color="auto" w:fill="FFFFFF"/>
              <w:spacing w:before="0" w:beforeAutospacing="0" w:after="0" w:afterAutospacing="0" w:line="265" w:lineRule="atLeast"/>
              <w:jc w:val="both"/>
            </w:pPr>
            <w:r w:rsidRPr="00D1127E">
              <w:t>iesaistīti avārijas vai katastrofas seku likvidēšanā;</w:t>
            </w:r>
          </w:p>
          <w:p w14:paraId="233257B9" w14:textId="77777777" w:rsidR="001E316D" w:rsidRPr="00D1127E" w:rsidRDefault="001E316D" w:rsidP="001E316D">
            <w:pPr>
              <w:pStyle w:val="tv213"/>
              <w:numPr>
                <w:ilvl w:val="0"/>
                <w:numId w:val="10"/>
              </w:numPr>
              <w:shd w:val="clear" w:color="auto" w:fill="FFFFFF"/>
              <w:spacing w:before="0" w:beforeAutospacing="0" w:after="0" w:afterAutospacing="0" w:line="265" w:lineRule="atLeast"/>
              <w:jc w:val="both"/>
            </w:pPr>
            <w:r w:rsidRPr="00D1127E">
              <w:t>veic vienreizēju darbu, kas nav saistīts ar nodarbinātā profesiju, amatu vai pastāvīgi izpildāmiem pienākumiem;</w:t>
            </w:r>
          </w:p>
          <w:p w14:paraId="5D5C1312" w14:textId="77777777" w:rsidR="001E316D" w:rsidRPr="00D1127E" w:rsidRDefault="001E316D" w:rsidP="001E316D">
            <w:pPr>
              <w:pStyle w:val="tv213"/>
              <w:numPr>
                <w:ilvl w:val="0"/>
                <w:numId w:val="10"/>
              </w:numPr>
              <w:shd w:val="clear" w:color="auto" w:fill="FFFFFF"/>
              <w:spacing w:before="0" w:beforeAutospacing="0" w:after="0" w:afterAutospacing="0" w:line="265" w:lineRule="atLeast"/>
              <w:jc w:val="both"/>
            </w:pPr>
            <w:r w:rsidRPr="00D1127E">
              <w:t>veic vienreizēju darbu ārpus uzņēmuma teritorijas;</w:t>
            </w:r>
          </w:p>
          <w:p w14:paraId="30548297" w14:textId="77777777" w:rsidR="007436ED" w:rsidRPr="00D1127E" w:rsidRDefault="001E316D" w:rsidP="00FB0F41">
            <w:pPr>
              <w:pStyle w:val="tv213"/>
              <w:numPr>
                <w:ilvl w:val="0"/>
                <w:numId w:val="10"/>
              </w:numPr>
              <w:shd w:val="clear" w:color="auto" w:fill="FFFFFF"/>
              <w:spacing w:before="0" w:beforeAutospacing="0" w:after="0" w:afterAutospacing="0" w:line="265" w:lineRule="atLeast"/>
              <w:jc w:val="both"/>
            </w:pPr>
            <w:r w:rsidRPr="00D1127E">
              <w:t>saskaņā ar darba devēja apstiprinātu sarakstu veic darbu, kura izpildei jānoformē norīkojums (atļauja). Ziņas par instruktāžu reģistrē attiecīgajā norīkojumā (atļaujā)</w:t>
            </w:r>
            <w:r w:rsidR="00267AD2" w:rsidRPr="00D1127E">
              <w:t>.</w:t>
            </w:r>
          </w:p>
        </w:tc>
        <w:tc>
          <w:tcPr>
            <w:tcW w:w="1134" w:type="dxa"/>
          </w:tcPr>
          <w:p w14:paraId="3522A7A8" w14:textId="77777777" w:rsidR="007436ED" w:rsidRPr="0024329E" w:rsidRDefault="007436ED" w:rsidP="003237F2">
            <w:pPr>
              <w:jc w:val="center"/>
              <w:rPr>
                <w:sz w:val="24"/>
                <w:szCs w:val="24"/>
              </w:rPr>
            </w:pPr>
            <w:r w:rsidRPr="0024329E">
              <w:rPr>
                <w:sz w:val="24"/>
                <w:szCs w:val="24"/>
              </w:rPr>
              <w:lastRenderedPageBreak/>
              <w:t>2</w:t>
            </w:r>
          </w:p>
        </w:tc>
        <w:tc>
          <w:tcPr>
            <w:tcW w:w="1560" w:type="dxa"/>
          </w:tcPr>
          <w:p w14:paraId="0D86B8D8" w14:textId="77777777" w:rsidR="007436ED" w:rsidRPr="0024329E" w:rsidRDefault="000305D2" w:rsidP="003237F2">
            <w:pPr>
              <w:jc w:val="center"/>
              <w:rPr>
                <w:sz w:val="24"/>
                <w:szCs w:val="24"/>
              </w:rPr>
            </w:pPr>
            <w:r>
              <w:rPr>
                <w:sz w:val="24"/>
                <w:szCs w:val="24"/>
              </w:rPr>
              <w:t>Darba</w:t>
            </w:r>
            <w:r w:rsidRPr="0024329E">
              <w:rPr>
                <w:sz w:val="24"/>
                <w:szCs w:val="24"/>
              </w:rPr>
              <w:t xml:space="preserve"> aizsardzības speciālists</w:t>
            </w:r>
            <w:r>
              <w:rPr>
                <w:sz w:val="24"/>
                <w:szCs w:val="24"/>
              </w:rPr>
              <w:t xml:space="preserve"> vai kompetenta institūcija</w:t>
            </w:r>
          </w:p>
        </w:tc>
      </w:tr>
      <w:tr w:rsidR="0036194D" w:rsidRPr="00F21944" w14:paraId="41E46563" w14:textId="77777777" w:rsidTr="00CB64CD">
        <w:trPr>
          <w:trHeight w:val="1051"/>
        </w:trPr>
        <w:tc>
          <w:tcPr>
            <w:tcW w:w="709" w:type="dxa"/>
          </w:tcPr>
          <w:p w14:paraId="05DD4FCD" w14:textId="77777777" w:rsidR="0036194D" w:rsidRDefault="0036194D" w:rsidP="003237F2">
            <w:pPr>
              <w:rPr>
                <w:sz w:val="24"/>
                <w:szCs w:val="24"/>
              </w:rPr>
            </w:pPr>
            <w:r>
              <w:rPr>
                <w:sz w:val="24"/>
                <w:szCs w:val="24"/>
              </w:rPr>
              <w:lastRenderedPageBreak/>
              <w:t>1.3.</w:t>
            </w:r>
          </w:p>
        </w:tc>
        <w:tc>
          <w:tcPr>
            <w:tcW w:w="10631" w:type="dxa"/>
          </w:tcPr>
          <w:p w14:paraId="164B0FD1" w14:textId="77777777" w:rsidR="0036194D" w:rsidRPr="00D1127E" w:rsidRDefault="00B91654" w:rsidP="00B62FE1">
            <w:pPr>
              <w:jc w:val="both"/>
              <w:rPr>
                <w:sz w:val="24"/>
                <w:szCs w:val="24"/>
                <w:u w:val="single"/>
              </w:rPr>
            </w:pPr>
            <w:r w:rsidRPr="00D1127E">
              <w:rPr>
                <w:sz w:val="24"/>
                <w:szCs w:val="24"/>
                <w:u w:val="single"/>
                <w:shd w:val="clear" w:color="auto" w:fill="FFFFFF"/>
              </w:rPr>
              <w:t>Tematiskā apmācība par konkrētu darba aizsardzības jautājumu.</w:t>
            </w:r>
            <w:r w:rsidR="00B62FE1" w:rsidRPr="00D1127E">
              <w:rPr>
                <w:sz w:val="24"/>
                <w:szCs w:val="24"/>
                <w:shd w:val="clear" w:color="auto" w:fill="FFFFFF"/>
              </w:rPr>
              <w:t xml:space="preserve"> Tematisko apmācību par konkrētu darba aizsardzības jautājumu (piemēram, detalizētu apmācību par konkrētu darba vides riska faktoru, jaunu darba aprīkojumu, individuālo aizsardzības līdzekli, tehnoloģiju vai produktu) darba devējs organizē, ja tas nepieciešams nodarbināto zināšanu līmeņa paaugstināšanai un drošai darba veikšanai. Darba devējs dokumentē tematiskās apmācības veikšanu.</w:t>
            </w:r>
          </w:p>
        </w:tc>
        <w:tc>
          <w:tcPr>
            <w:tcW w:w="1134" w:type="dxa"/>
          </w:tcPr>
          <w:p w14:paraId="58AA7C12" w14:textId="77777777" w:rsidR="0036194D" w:rsidRPr="0024329E" w:rsidRDefault="00B91654" w:rsidP="003237F2">
            <w:pPr>
              <w:jc w:val="center"/>
              <w:rPr>
                <w:sz w:val="24"/>
                <w:szCs w:val="24"/>
              </w:rPr>
            </w:pPr>
            <w:r>
              <w:rPr>
                <w:sz w:val="24"/>
                <w:szCs w:val="24"/>
              </w:rPr>
              <w:t>1</w:t>
            </w:r>
          </w:p>
        </w:tc>
        <w:tc>
          <w:tcPr>
            <w:tcW w:w="1560" w:type="dxa"/>
          </w:tcPr>
          <w:p w14:paraId="1F66B2C1" w14:textId="77777777" w:rsidR="0036194D" w:rsidRDefault="00B91654" w:rsidP="003237F2">
            <w:pPr>
              <w:jc w:val="center"/>
              <w:rPr>
                <w:sz w:val="24"/>
                <w:szCs w:val="24"/>
              </w:rPr>
            </w:pPr>
            <w:r>
              <w:rPr>
                <w:sz w:val="24"/>
                <w:szCs w:val="24"/>
              </w:rPr>
              <w:t>Darba</w:t>
            </w:r>
            <w:r w:rsidRPr="0024329E">
              <w:rPr>
                <w:sz w:val="24"/>
                <w:szCs w:val="24"/>
              </w:rPr>
              <w:t xml:space="preserve"> aizsardzības speciālists</w:t>
            </w:r>
            <w:r w:rsidR="00B62FE1">
              <w:rPr>
                <w:sz w:val="24"/>
                <w:szCs w:val="24"/>
              </w:rPr>
              <w:t xml:space="preserve"> vai kompetenta institūcija</w:t>
            </w:r>
          </w:p>
        </w:tc>
      </w:tr>
      <w:tr w:rsidR="00D52220" w:rsidRPr="00F21944" w14:paraId="471B44DE" w14:textId="77777777" w:rsidTr="00CB64CD">
        <w:tc>
          <w:tcPr>
            <w:tcW w:w="14034" w:type="dxa"/>
            <w:gridSpan w:val="4"/>
          </w:tcPr>
          <w:p w14:paraId="7212678B" w14:textId="77777777" w:rsidR="00D52220" w:rsidRPr="00F21944" w:rsidRDefault="00046A42" w:rsidP="00D52220">
            <w:pPr>
              <w:ind w:left="-58"/>
              <w:jc w:val="center"/>
              <w:rPr>
                <w:sz w:val="24"/>
                <w:szCs w:val="24"/>
              </w:rPr>
            </w:pPr>
            <w:r>
              <w:rPr>
                <w:b/>
                <w:bCs/>
                <w:i/>
                <w:iCs/>
                <w:sz w:val="24"/>
                <w:szCs w:val="24"/>
              </w:rPr>
              <w:t>2</w:t>
            </w:r>
            <w:r w:rsidRPr="00F21944">
              <w:rPr>
                <w:b/>
                <w:bCs/>
                <w:i/>
                <w:iCs/>
                <w:sz w:val="24"/>
                <w:szCs w:val="24"/>
              </w:rPr>
              <w:t xml:space="preserve">. Rūpniecisko avāriju risks, tā samazināšana, </w:t>
            </w:r>
            <w:proofErr w:type="spellStart"/>
            <w:r w:rsidRPr="00F21944">
              <w:rPr>
                <w:b/>
                <w:bCs/>
                <w:i/>
                <w:iCs/>
                <w:sz w:val="24"/>
                <w:szCs w:val="24"/>
              </w:rPr>
              <w:t>avārijgatavība</w:t>
            </w:r>
            <w:proofErr w:type="spellEnd"/>
          </w:p>
        </w:tc>
      </w:tr>
      <w:tr w:rsidR="00046A42" w:rsidRPr="00F21944" w14:paraId="5285AB86" w14:textId="77777777" w:rsidTr="00CB64CD">
        <w:tc>
          <w:tcPr>
            <w:tcW w:w="709" w:type="dxa"/>
          </w:tcPr>
          <w:p w14:paraId="7C2DDEC6" w14:textId="77777777" w:rsidR="00046A42" w:rsidRPr="00F21944" w:rsidRDefault="00046A42" w:rsidP="003237F2">
            <w:pPr>
              <w:rPr>
                <w:sz w:val="24"/>
                <w:szCs w:val="24"/>
              </w:rPr>
            </w:pPr>
            <w:r>
              <w:rPr>
                <w:sz w:val="24"/>
                <w:szCs w:val="24"/>
              </w:rPr>
              <w:t>2.1.</w:t>
            </w:r>
          </w:p>
        </w:tc>
        <w:tc>
          <w:tcPr>
            <w:tcW w:w="10631" w:type="dxa"/>
          </w:tcPr>
          <w:p w14:paraId="06C841E0" w14:textId="77777777" w:rsidR="00046A42" w:rsidRPr="006A278F" w:rsidRDefault="00046A42" w:rsidP="00094AED">
            <w:pPr>
              <w:jc w:val="both"/>
              <w:rPr>
                <w:sz w:val="24"/>
                <w:szCs w:val="24"/>
              </w:rPr>
            </w:pPr>
            <w:r>
              <w:rPr>
                <w:sz w:val="24"/>
                <w:szCs w:val="24"/>
              </w:rPr>
              <w:t>Darbinieku t</w:t>
            </w:r>
            <w:r w:rsidRPr="006A278F">
              <w:rPr>
                <w:sz w:val="24"/>
                <w:szCs w:val="24"/>
              </w:rPr>
              <w:t>eorētiskā apmācīb</w:t>
            </w:r>
            <w:r>
              <w:rPr>
                <w:sz w:val="24"/>
                <w:szCs w:val="24"/>
              </w:rPr>
              <w:t xml:space="preserve">a gatavībai rīcībām negadījumiem ar </w:t>
            </w:r>
            <w:r w:rsidR="00621E21">
              <w:rPr>
                <w:sz w:val="24"/>
                <w:szCs w:val="24"/>
              </w:rPr>
              <w:t>ķīmiska</w:t>
            </w:r>
            <w:r w:rsidR="009A03C5">
              <w:rPr>
                <w:sz w:val="24"/>
                <w:szCs w:val="24"/>
              </w:rPr>
              <w:t>jām vielām</w:t>
            </w:r>
            <w:r>
              <w:rPr>
                <w:sz w:val="24"/>
                <w:szCs w:val="24"/>
              </w:rPr>
              <w:t>, ugunsgrēkam objekta teritorijā un rīcībām būtiskāko ārējo risku negadījumos</w:t>
            </w:r>
            <w:r w:rsidR="00A023C9">
              <w:rPr>
                <w:sz w:val="24"/>
                <w:szCs w:val="24"/>
              </w:rPr>
              <w:t xml:space="preserve">. </w:t>
            </w:r>
            <w:r>
              <w:rPr>
                <w:sz w:val="24"/>
                <w:szCs w:val="24"/>
              </w:rPr>
              <w:t>Objektā</w:t>
            </w:r>
            <w:r w:rsidRPr="006A278F">
              <w:rPr>
                <w:sz w:val="24"/>
                <w:szCs w:val="24"/>
              </w:rPr>
              <w:t xml:space="preserve"> iespējamās avārijas, to cēloņi, scenāriji, modeļi, bīstamība darbiniekiem un iedzīvotājiem. Nevēlamo notikumu iespējamība. Pamatprasības avāriju </w:t>
            </w:r>
            <w:proofErr w:type="spellStart"/>
            <w:r w:rsidRPr="006A278F">
              <w:rPr>
                <w:sz w:val="24"/>
                <w:szCs w:val="24"/>
              </w:rPr>
              <w:t>prevencijai</w:t>
            </w:r>
            <w:proofErr w:type="spellEnd"/>
            <w:r w:rsidRPr="006A278F">
              <w:rPr>
                <w:sz w:val="24"/>
                <w:szCs w:val="24"/>
              </w:rPr>
              <w:t xml:space="preserve">. Personīgās drošības prasības darbībām bīstamā vidē. Aizsardzības līdzekļi un metodes. Operatīvo dienestu izsaukumi, sadarbības risinājumi. </w:t>
            </w:r>
            <w:r w:rsidR="00621E21">
              <w:rPr>
                <w:sz w:val="24"/>
                <w:szCs w:val="24"/>
              </w:rPr>
              <w:t>Ķīmisk</w:t>
            </w:r>
            <w:r w:rsidRPr="006A278F">
              <w:rPr>
                <w:sz w:val="24"/>
                <w:szCs w:val="24"/>
              </w:rPr>
              <w:t xml:space="preserve">o kravu pārvadājumi, prasības to drošībai. Vides aizsardzības prasības un risinājumi. </w:t>
            </w:r>
            <w:r>
              <w:rPr>
                <w:sz w:val="24"/>
                <w:szCs w:val="24"/>
              </w:rPr>
              <w:t>Apmācība tiek organizēta vienu reizi gadā.</w:t>
            </w:r>
          </w:p>
        </w:tc>
        <w:tc>
          <w:tcPr>
            <w:tcW w:w="1134" w:type="dxa"/>
          </w:tcPr>
          <w:p w14:paraId="4B93F03D" w14:textId="77777777" w:rsidR="00046A42" w:rsidRDefault="00046A42" w:rsidP="003237F2">
            <w:pPr>
              <w:jc w:val="center"/>
              <w:rPr>
                <w:sz w:val="24"/>
                <w:szCs w:val="24"/>
              </w:rPr>
            </w:pPr>
            <w:r>
              <w:rPr>
                <w:sz w:val="24"/>
                <w:szCs w:val="24"/>
              </w:rPr>
              <w:t>1</w:t>
            </w:r>
          </w:p>
          <w:p w14:paraId="0574210A" w14:textId="77777777" w:rsidR="00046A42" w:rsidRDefault="00046A42" w:rsidP="003237F2">
            <w:pPr>
              <w:jc w:val="center"/>
              <w:rPr>
                <w:sz w:val="24"/>
                <w:szCs w:val="24"/>
              </w:rPr>
            </w:pPr>
          </w:p>
          <w:p w14:paraId="53243E0B" w14:textId="77777777" w:rsidR="00046A42" w:rsidRDefault="00046A42" w:rsidP="003237F2">
            <w:pPr>
              <w:jc w:val="center"/>
              <w:rPr>
                <w:sz w:val="24"/>
                <w:szCs w:val="24"/>
              </w:rPr>
            </w:pPr>
          </w:p>
          <w:p w14:paraId="306D1BCA" w14:textId="77777777" w:rsidR="00046A42" w:rsidRDefault="00046A42" w:rsidP="003237F2">
            <w:pPr>
              <w:jc w:val="center"/>
              <w:rPr>
                <w:sz w:val="24"/>
                <w:szCs w:val="24"/>
              </w:rPr>
            </w:pPr>
          </w:p>
          <w:p w14:paraId="64CFEE85" w14:textId="77777777" w:rsidR="00046A42" w:rsidRDefault="00046A42" w:rsidP="003237F2">
            <w:pPr>
              <w:jc w:val="center"/>
              <w:rPr>
                <w:sz w:val="24"/>
                <w:szCs w:val="24"/>
              </w:rPr>
            </w:pPr>
          </w:p>
          <w:p w14:paraId="17FE51DD" w14:textId="77777777" w:rsidR="00046A42" w:rsidRPr="00F21944" w:rsidRDefault="00046A42" w:rsidP="003237F2">
            <w:pPr>
              <w:jc w:val="center"/>
              <w:rPr>
                <w:sz w:val="24"/>
                <w:szCs w:val="24"/>
              </w:rPr>
            </w:pPr>
          </w:p>
        </w:tc>
        <w:tc>
          <w:tcPr>
            <w:tcW w:w="1560" w:type="dxa"/>
          </w:tcPr>
          <w:p w14:paraId="12975432" w14:textId="77777777" w:rsidR="00046A42" w:rsidRPr="00F21944" w:rsidRDefault="000305D2" w:rsidP="00044635">
            <w:pPr>
              <w:jc w:val="center"/>
              <w:rPr>
                <w:sz w:val="24"/>
                <w:szCs w:val="24"/>
              </w:rPr>
            </w:pPr>
            <w:r>
              <w:rPr>
                <w:sz w:val="24"/>
                <w:szCs w:val="24"/>
              </w:rPr>
              <w:t>Darba</w:t>
            </w:r>
            <w:r w:rsidRPr="0024329E">
              <w:rPr>
                <w:sz w:val="24"/>
                <w:szCs w:val="24"/>
              </w:rPr>
              <w:t xml:space="preserve"> aizsardzības speciālists</w:t>
            </w:r>
            <w:r>
              <w:rPr>
                <w:sz w:val="24"/>
                <w:szCs w:val="24"/>
              </w:rPr>
              <w:t xml:space="preserve"> vai kompetenta institūcija</w:t>
            </w:r>
          </w:p>
        </w:tc>
      </w:tr>
      <w:tr w:rsidR="00046A42" w:rsidRPr="00F21944" w14:paraId="3CA1193F" w14:textId="77777777" w:rsidTr="00CB64CD">
        <w:tc>
          <w:tcPr>
            <w:tcW w:w="709" w:type="dxa"/>
          </w:tcPr>
          <w:p w14:paraId="6D1217B5" w14:textId="77777777" w:rsidR="00046A42" w:rsidRDefault="00046A42" w:rsidP="003237F2">
            <w:pPr>
              <w:rPr>
                <w:sz w:val="24"/>
                <w:szCs w:val="24"/>
              </w:rPr>
            </w:pPr>
            <w:r>
              <w:rPr>
                <w:sz w:val="24"/>
                <w:szCs w:val="24"/>
              </w:rPr>
              <w:t>2.2.</w:t>
            </w:r>
          </w:p>
        </w:tc>
        <w:tc>
          <w:tcPr>
            <w:tcW w:w="10631" w:type="dxa"/>
          </w:tcPr>
          <w:p w14:paraId="6A246766" w14:textId="77777777" w:rsidR="00046A42" w:rsidRPr="006A278F" w:rsidRDefault="00046A42" w:rsidP="003237F2">
            <w:pPr>
              <w:jc w:val="both"/>
              <w:rPr>
                <w:sz w:val="24"/>
                <w:szCs w:val="24"/>
              </w:rPr>
            </w:pPr>
            <w:r w:rsidRPr="006A278F">
              <w:rPr>
                <w:sz w:val="24"/>
                <w:szCs w:val="24"/>
              </w:rPr>
              <w:t>Praktiskā apmācība</w:t>
            </w:r>
            <w:r>
              <w:rPr>
                <w:sz w:val="24"/>
                <w:szCs w:val="24"/>
              </w:rPr>
              <w:t xml:space="preserve"> gatavībai rīcībām negadījumiem ar </w:t>
            </w:r>
            <w:r w:rsidR="00621E21">
              <w:rPr>
                <w:sz w:val="24"/>
                <w:szCs w:val="24"/>
              </w:rPr>
              <w:t>ķīmisk</w:t>
            </w:r>
            <w:r w:rsidR="009A03C5">
              <w:rPr>
                <w:sz w:val="24"/>
                <w:szCs w:val="24"/>
              </w:rPr>
              <w:t>ajām vielām</w:t>
            </w:r>
            <w:r>
              <w:rPr>
                <w:sz w:val="24"/>
                <w:szCs w:val="24"/>
              </w:rPr>
              <w:t xml:space="preserve">, ugunsgrēkam objekta teritorijā un rīcībām būtiskāko  ārējo risku gadījumos </w:t>
            </w:r>
            <w:r w:rsidRPr="006A278F">
              <w:rPr>
                <w:sz w:val="24"/>
                <w:szCs w:val="24"/>
              </w:rPr>
              <w:t>– ugunsgrēku dzēšana, avāriju seku likvidēšana un glābšanas darbu veikšana.</w:t>
            </w:r>
            <w:r>
              <w:rPr>
                <w:sz w:val="24"/>
                <w:szCs w:val="24"/>
              </w:rPr>
              <w:t xml:space="preserve"> Apmācība tiek organizēta vienu reizi gadā.</w:t>
            </w:r>
          </w:p>
        </w:tc>
        <w:tc>
          <w:tcPr>
            <w:tcW w:w="1134" w:type="dxa"/>
          </w:tcPr>
          <w:p w14:paraId="119F9C95" w14:textId="77777777" w:rsidR="00046A42" w:rsidRPr="00F21944" w:rsidRDefault="00046A42" w:rsidP="004639F8">
            <w:pPr>
              <w:jc w:val="center"/>
              <w:rPr>
                <w:sz w:val="24"/>
                <w:szCs w:val="24"/>
              </w:rPr>
            </w:pPr>
            <w:r>
              <w:rPr>
                <w:sz w:val="24"/>
                <w:szCs w:val="24"/>
              </w:rPr>
              <w:t>1</w:t>
            </w:r>
          </w:p>
        </w:tc>
        <w:tc>
          <w:tcPr>
            <w:tcW w:w="1560" w:type="dxa"/>
          </w:tcPr>
          <w:p w14:paraId="3346C284" w14:textId="77777777" w:rsidR="00046A42" w:rsidRPr="00F21944" w:rsidRDefault="000305D2" w:rsidP="003237F2">
            <w:pPr>
              <w:jc w:val="center"/>
              <w:rPr>
                <w:sz w:val="24"/>
                <w:szCs w:val="24"/>
              </w:rPr>
            </w:pPr>
            <w:r>
              <w:rPr>
                <w:sz w:val="24"/>
                <w:szCs w:val="24"/>
              </w:rPr>
              <w:t>Darba</w:t>
            </w:r>
            <w:r w:rsidRPr="0024329E">
              <w:rPr>
                <w:sz w:val="24"/>
                <w:szCs w:val="24"/>
              </w:rPr>
              <w:t xml:space="preserve"> aizsardzības speciālists</w:t>
            </w:r>
            <w:r>
              <w:rPr>
                <w:sz w:val="24"/>
                <w:szCs w:val="24"/>
              </w:rPr>
              <w:t xml:space="preserve"> vai kompetenta institūcija</w:t>
            </w:r>
          </w:p>
        </w:tc>
      </w:tr>
      <w:tr w:rsidR="003E716E" w:rsidRPr="00F21944" w14:paraId="6FF32DFA" w14:textId="77777777" w:rsidTr="00CB64CD">
        <w:tc>
          <w:tcPr>
            <w:tcW w:w="14034" w:type="dxa"/>
            <w:gridSpan w:val="4"/>
          </w:tcPr>
          <w:p w14:paraId="0B5250D2" w14:textId="77777777" w:rsidR="003E716E" w:rsidRDefault="003E716E" w:rsidP="003237F2">
            <w:pPr>
              <w:jc w:val="center"/>
              <w:rPr>
                <w:sz w:val="24"/>
                <w:szCs w:val="24"/>
              </w:rPr>
            </w:pPr>
            <w:r>
              <w:rPr>
                <w:b/>
                <w:bCs/>
                <w:i/>
                <w:iCs/>
                <w:sz w:val="24"/>
                <w:szCs w:val="24"/>
              </w:rPr>
              <w:t xml:space="preserve">3. Ugunsdrošība un ugunsdzēsība; </w:t>
            </w:r>
            <w:r w:rsidRPr="005F221D">
              <w:rPr>
                <w:b/>
                <w:bCs/>
                <w:i/>
                <w:iCs/>
                <w:sz w:val="24"/>
                <w:szCs w:val="24"/>
              </w:rPr>
              <w:t>apmācība tiek organizēta atbilstoši MK noteikumiem Nr.</w:t>
            </w:r>
            <w:r>
              <w:rPr>
                <w:b/>
                <w:bCs/>
                <w:i/>
                <w:iCs/>
                <w:sz w:val="24"/>
                <w:szCs w:val="24"/>
              </w:rPr>
              <w:t>238</w:t>
            </w:r>
            <w:r w:rsidRPr="005F221D">
              <w:rPr>
                <w:b/>
                <w:bCs/>
                <w:i/>
                <w:iCs/>
                <w:sz w:val="24"/>
                <w:szCs w:val="24"/>
              </w:rPr>
              <w:t>-1</w:t>
            </w:r>
            <w:r>
              <w:rPr>
                <w:b/>
                <w:bCs/>
                <w:i/>
                <w:iCs/>
                <w:sz w:val="24"/>
                <w:szCs w:val="24"/>
              </w:rPr>
              <w:t>9</w:t>
            </w:r>
            <w:r w:rsidRPr="005F221D">
              <w:rPr>
                <w:b/>
                <w:bCs/>
                <w:i/>
                <w:iCs/>
                <w:sz w:val="24"/>
                <w:szCs w:val="24"/>
              </w:rPr>
              <w:t>.0</w:t>
            </w:r>
            <w:r>
              <w:rPr>
                <w:b/>
                <w:bCs/>
                <w:i/>
                <w:iCs/>
                <w:sz w:val="24"/>
                <w:szCs w:val="24"/>
              </w:rPr>
              <w:t>4</w:t>
            </w:r>
            <w:r w:rsidRPr="005F221D">
              <w:rPr>
                <w:b/>
                <w:bCs/>
                <w:i/>
                <w:iCs/>
                <w:sz w:val="24"/>
                <w:szCs w:val="24"/>
              </w:rPr>
              <w:t>.201</w:t>
            </w:r>
            <w:r>
              <w:rPr>
                <w:b/>
                <w:bCs/>
                <w:i/>
                <w:iCs/>
                <w:sz w:val="24"/>
                <w:szCs w:val="24"/>
              </w:rPr>
              <w:t>6</w:t>
            </w:r>
            <w:r w:rsidRPr="005F221D">
              <w:rPr>
                <w:b/>
                <w:bCs/>
                <w:i/>
                <w:iCs/>
                <w:sz w:val="24"/>
                <w:szCs w:val="24"/>
              </w:rPr>
              <w:t>. „</w:t>
            </w:r>
            <w:r>
              <w:rPr>
                <w:b/>
                <w:bCs/>
                <w:i/>
                <w:sz w:val="24"/>
                <w:szCs w:val="24"/>
                <w:shd w:val="clear" w:color="auto" w:fill="FFFFFF"/>
              </w:rPr>
              <w:t>Ugunsdrošības noteikumi</w:t>
            </w:r>
            <w:r w:rsidRPr="005F221D">
              <w:rPr>
                <w:b/>
                <w:bCs/>
                <w:i/>
                <w:sz w:val="24"/>
                <w:szCs w:val="24"/>
                <w:shd w:val="clear" w:color="auto" w:fill="FFFFFF"/>
              </w:rPr>
              <w:t>”</w:t>
            </w:r>
          </w:p>
        </w:tc>
      </w:tr>
      <w:tr w:rsidR="003E716E" w:rsidRPr="00F21944" w14:paraId="01C482D3" w14:textId="77777777" w:rsidTr="00CB64CD">
        <w:tc>
          <w:tcPr>
            <w:tcW w:w="709" w:type="dxa"/>
          </w:tcPr>
          <w:p w14:paraId="5F37B7AB" w14:textId="77777777" w:rsidR="003E716E" w:rsidRDefault="003E716E" w:rsidP="003237F2">
            <w:pPr>
              <w:rPr>
                <w:sz w:val="24"/>
                <w:szCs w:val="24"/>
              </w:rPr>
            </w:pPr>
            <w:r>
              <w:rPr>
                <w:sz w:val="24"/>
                <w:szCs w:val="24"/>
              </w:rPr>
              <w:t>3</w:t>
            </w:r>
            <w:r w:rsidRPr="0024329E">
              <w:rPr>
                <w:sz w:val="24"/>
                <w:szCs w:val="24"/>
              </w:rPr>
              <w:t>.1.</w:t>
            </w:r>
          </w:p>
        </w:tc>
        <w:tc>
          <w:tcPr>
            <w:tcW w:w="10631" w:type="dxa"/>
          </w:tcPr>
          <w:p w14:paraId="778E1207" w14:textId="77777777" w:rsidR="003E716E" w:rsidRPr="006A278F" w:rsidRDefault="003E716E" w:rsidP="003237F2">
            <w:pPr>
              <w:jc w:val="both"/>
              <w:rPr>
                <w:sz w:val="24"/>
                <w:szCs w:val="24"/>
              </w:rPr>
            </w:pPr>
            <w:r w:rsidRPr="0024329E">
              <w:rPr>
                <w:sz w:val="24"/>
                <w:szCs w:val="24"/>
              </w:rPr>
              <w:t>Uzņēmumā iespējamo ugunsgrēku (aizdegšanās) cēloņi un vietas. Ēku</w:t>
            </w:r>
            <w:r>
              <w:rPr>
                <w:sz w:val="24"/>
                <w:szCs w:val="24"/>
              </w:rPr>
              <w:t xml:space="preserve"> (būvju) ugunsizturības pakāpes</w:t>
            </w:r>
            <w:r w:rsidRPr="0024329E">
              <w:rPr>
                <w:sz w:val="24"/>
                <w:szCs w:val="24"/>
              </w:rPr>
              <w:t xml:space="preserve">. </w:t>
            </w:r>
            <w:r>
              <w:rPr>
                <w:sz w:val="24"/>
                <w:szCs w:val="24"/>
              </w:rPr>
              <w:t>Ugunsdzēsības ierīces</w:t>
            </w:r>
            <w:r w:rsidRPr="0024329E">
              <w:rPr>
                <w:sz w:val="24"/>
                <w:szCs w:val="24"/>
              </w:rPr>
              <w:t xml:space="preserve"> un </w:t>
            </w:r>
            <w:r>
              <w:rPr>
                <w:sz w:val="24"/>
                <w:szCs w:val="24"/>
              </w:rPr>
              <w:t>aprīkojums</w:t>
            </w:r>
            <w:r w:rsidRPr="0024329E">
              <w:rPr>
                <w:sz w:val="24"/>
                <w:szCs w:val="24"/>
              </w:rPr>
              <w:t>, prasības to tehniskai apkopei, lietošanai. Obligātās pamatprasības aizdegšanās (uguns</w:t>
            </w:r>
            <w:r>
              <w:rPr>
                <w:sz w:val="24"/>
                <w:szCs w:val="24"/>
              </w:rPr>
              <w:t>grēka) gadījumā</w:t>
            </w:r>
            <w:r w:rsidRPr="0024329E">
              <w:rPr>
                <w:sz w:val="24"/>
                <w:szCs w:val="24"/>
              </w:rPr>
              <w:t xml:space="preserve">. Darbinieku un materiālo vērtību aizsardzība ugunsgrēka gadījumā. Apritē esošo ķīmisko produktu </w:t>
            </w:r>
            <w:r>
              <w:rPr>
                <w:sz w:val="24"/>
                <w:szCs w:val="24"/>
              </w:rPr>
              <w:t>bīstamās īpašības</w:t>
            </w:r>
            <w:r w:rsidRPr="0024329E">
              <w:rPr>
                <w:sz w:val="24"/>
                <w:szCs w:val="24"/>
              </w:rPr>
              <w:t xml:space="preserve">. Ugunsbīstamie darbi – to dokumentālais noformējums, organizācija, uzraudzība. </w:t>
            </w:r>
            <w:r w:rsidRPr="00226834">
              <w:rPr>
                <w:sz w:val="24"/>
                <w:szCs w:val="24"/>
              </w:rPr>
              <w:t>Rīcības plān</w:t>
            </w:r>
            <w:r>
              <w:rPr>
                <w:sz w:val="24"/>
                <w:szCs w:val="24"/>
              </w:rPr>
              <w:t>s</w:t>
            </w:r>
            <w:r w:rsidRPr="00226834">
              <w:rPr>
                <w:sz w:val="24"/>
                <w:szCs w:val="24"/>
              </w:rPr>
              <w:t>, ugunsdrošības instrukcija.</w:t>
            </w:r>
            <w:r w:rsidRPr="00595979">
              <w:rPr>
                <w:color w:val="FF0000"/>
                <w:sz w:val="24"/>
                <w:szCs w:val="24"/>
              </w:rPr>
              <w:t xml:space="preserve"> </w:t>
            </w:r>
            <w:r w:rsidRPr="00CE448A">
              <w:rPr>
                <w:sz w:val="24"/>
                <w:szCs w:val="24"/>
              </w:rPr>
              <w:t>Apmācība tiek veikta reizi gadā.</w:t>
            </w:r>
          </w:p>
        </w:tc>
        <w:tc>
          <w:tcPr>
            <w:tcW w:w="1134" w:type="dxa"/>
          </w:tcPr>
          <w:p w14:paraId="2056A0DD" w14:textId="77777777" w:rsidR="003E716E" w:rsidRDefault="003E716E" w:rsidP="004639F8">
            <w:pPr>
              <w:jc w:val="center"/>
              <w:rPr>
                <w:sz w:val="24"/>
                <w:szCs w:val="24"/>
              </w:rPr>
            </w:pPr>
            <w:r>
              <w:rPr>
                <w:sz w:val="24"/>
                <w:szCs w:val="24"/>
              </w:rPr>
              <w:t>2</w:t>
            </w:r>
          </w:p>
        </w:tc>
        <w:tc>
          <w:tcPr>
            <w:tcW w:w="1560" w:type="dxa"/>
          </w:tcPr>
          <w:p w14:paraId="3665FDC0" w14:textId="77777777" w:rsidR="003E716E" w:rsidRDefault="003E716E" w:rsidP="003237F2">
            <w:pPr>
              <w:jc w:val="center"/>
              <w:rPr>
                <w:sz w:val="24"/>
                <w:szCs w:val="24"/>
              </w:rPr>
            </w:pPr>
            <w:r>
              <w:rPr>
                <w:sz w:val="24"/>
                <w:szCs w:val="24"/>
              </w:rPr>
              <w:t xml:space="preserve">Kompetents </w:t>
            </w:r>
            <w:r w:rsidRPr="0024329E">
              <w:rPr>
                <w:sz w:val="24"/>
                <w:szCs w:val="24"/>
              </w:rPr>
              <w:t>speciālists</w:t>
            </w:r>
            <w:r>
              <w:rPr>
                <w:sz w:val="24"/>
                <w:szCs w:val="24"/>
              </w:rPr>
              <w:t xml:space="preserve"> vai kompetenta institūcija</w:t>
            </w:r>
          </w:p>
        </w:tc>
      </w:tr>
      <w:tr w:rsidR="008B53A9" w:rsidRPr="00F21944" w14:paraId="02766CDC" w14:textId="77777777" w:rsidTr="00CB64CD">
        <w:tc>
          <w:tcPr>
            <w:tcW w:w="14034" w:type="dxa"/>
            <w:gridSpan w:val="4"/>
          </w:tcPr>
          <w:p w14:paraId="6ADB847C" w14:textId="77777777" w:rsidR="008B53A9" w:rsidRDefault="008B53A9" w:rsidP="003237F2">
            <w:pPr>
              <w:jc w:val="center"/>
              <w:rPr>
                <w:sz w:val="24"/>
                <w:szCs w:val="24"/>
              </w:rPr>
            </w:pPr>
            <w:r>
              <w:rPr>
                <w:b/>
                <w:bCs/>
                <w:i/>
                <w:iCs/>
                <w:sz w:val="24"/>
                <w:szCs w:val="24"/>
              </w:rPr>
              <w:t>4</w:t>
            </w:r>
            <w:r w:rsidRPr="00F21944">
              <w:rPr>
                <w:b/>
                <w:bCs/>
                <w:i/>
                <w:iCs/>
                <w:sz w:val="24"/>
                <w:szCs w:val="24"/>
              </w:rPr>
              <w:t xml:space="preserve">. </w:t>
            </w:r>
            <w:r w:rsidRPr="00DC4B67">
              <w:rPr>
                <w:b/>
                <w:bCs/>
                <w:i/>
                <w:iCs/>
                <w:sz w:val="24"/>
                <w:szCs w:val="24"/>
              </w:rPr>
              <w:t>Civilā aizsardzība; apmācība tiek organizēta atbilstoši MK noteikumiem Nr.716-05.12.2017. „</w:t>
            </w:r>
            <w:r w:rsidRPr="00DC4B67">
              <w:rPr>
                <w:b/>
                <w:bCs/>
                <w:i/>
                <w:sz w:val="24"/>
                <w:szCs w:val="24"/>
                <w:shd w:val="clear" w:color="auto" w:fill="FFFFFF"/>
              </w:rPr>
              <w:t>Minimālās prasības obligātā civilās aizsardzības kursa saturam un nodarbināto civilās aizsardzības apmācības saturam”</w:t>
            </w:r>
            <w:r>
              <w:rPr>
                <w:b/>
                <w:bCs/>
                <w:i/>
                <w:sz w:val="24"/>
                <w:szCs w:val="24"/>
                <w:shd w:val="clear" w:color="auto" w:fill="FFFFFF"/>
              </w:rPr>
              <w:t xml:space="preserve"> un MK noteikumiem Nr.563-19.09.2017. </w:t>
            </w:r>
            <w:r w:rsidRPr="006F2B69">
              <w:rPr>
                <w:b/>
                <w:i/>
                <w:sz w:val="24"/>
                <w:szCs w:val="24"/>
              </w:rPr>
              <w:t>„</w:t>
            </w:r>
            <w:r w:rsidRPr="006F2B69">
              <w:rPr>
                <w:b/>
                <w:bCs/>
                <w:i/>
                <w:sz w:val="24"/>
                <w:szCs w:val="24"/>
                <w:shd w:val="clear" w:color="auto" w:fill="FFFFFF"/>
              </w:rPr>
              <w:t>Paaugstinātas bīstamības objektu apzināšanas un noteikšanas, kā arī civilās aizsardzības un katastrofas pārvaldīšanas plānošanas un īstenošanas kārtība”</w:t>
            </w:r>
          </w:p>
        </w:tc>
      </w:tr>
      <w:tr w:rsidR="008B53A9" w:rsidRPr="00F21944" w14:paraId="0C3CD2A7" w14:textId="77777777" w:rsidTr="00CB64CD">
        <w:tc>
          <w:tcPr>
            <w:tcW w:w="709" w:type="dxa"/>
          </w:tcPr>
          <w:p w14:paraId="143AD604" w14:textId="77777777" w:rsidR="008B53A9" w:rsidRDefault="008B53A9" w:rsidP="008B53A9">
            <w:pPr>
              <w:rPr>
                <w:sz w:val="24"/>
                <w:szCs w:val="24"/>
              </w:rPr>
            </w:pPr>
            <w:r>
              <w:rPr>
                <w:sz w:val="24"/>
                <w:szCs w:val="24"/>
              </w:rPr>
              <w:t>4.1.</w:t>
            </w:r>
          </w:p>
        </w:tc>
        <w:tc>
          <w:tcPr>
            <w:tcW w:w="10631" w:type="dxa"/>
          </w:tcPr>
          <w:p w14:paraId="303123BC" w14:textId="77777777" w:rsidR="008B53A9" w:rsidRPr="00233530" w:rsidRDefault="008B53A9" w:rsidP="008B53A9">
            <w:pPr>
              <w:pStyle w:val="tv213"/>
              <w:spacing w:before="0" w:beforeAutospacing="0" w:after="0" w:afterAutospacing="0"/>
            </w:pPr>
            <w:r w:rsidRPr="00233530">
              <w:t>Nodarbināto civilās aizsardzības apmācības saturs:</w:t>
            </w:r>
          </w:p>
          <w:p w14:paraId="6834AA54" w14:textId="77777777" w:rsidR="008B53A9" w:rsidRPr="00233530" w:rsidRDefault="008B53A9" w:rsidP="008B53A9">
            <w:pPr>
              <w:pStyle w:val="tv213"/>
              <w:numPr>
                <w:ilvl w:val="0"/>
                <w:numId w:val="11"/>
              </w:numPr>
              <w:shd w:val="clear" w:color="auto" w:fill="FFFFFF"/>
              <w:spacing w:before="0" w:beforeAutospacing="0" w:after="0" w:afterAutospacing="0" w:line="265" w:lineRule="atLeast"/>
              <w:jc w:val="both"/>
            </w:pPr>
            <w:r w:rsidRPr="00233530">
              <w:t>zināšanas par objekta civilās aizsardzības plānu;</w:t>
            </w:r>
          </w:p>
          <w:p w14:paraId="477739D9" w14:textId="77777777" w:rsidR="008B53A9" w:rsidRPr="00233530" w:rsidRDefault="008B53A9" w:rsidP="008B53A9">
            <w:pPr>
              <w:pStyle w:val="tv213"/>
              <w:numPr>
                <w:ilvl w:val="0"/>
                <w:numId w:val="11"/>
              </w:numPr>
              <w:shd w:val="clear" w:color="auto" w:fill="FFFFFF"/>
              <w:spacing w:before="0" w:beforeAutospacing="0" w:after="0" w:afterAutospacing="0" w:line="265" w:lineRule="atLeast"/>
              <w:jc w:val="both"/>
            </w:pPr>
            <w:r w:rsidRPr="00233530">
              <w:t>zināšanas par valstī iespējamām katastrofām un to sekām;</w:t>
            </w:r>
          </w:p>
          <w:p w14:paraId="43F311CC" w14:textId="77777777" w:rsidR="008B53A9" w:rsidRPr="00233530" w:rsidRDefault="008B53A9" w:rsidP="008B53A9">
            <w:pPr>
              <w:pStyle w:val="tv213"/>
              <w:numPr>
                <w:ilvl w:val="0"/>
                <w:numId w:val="11"/>
              </w:numPr>
              <w:shd w:val="clear" w:color="auto" w:fill="FFFFFF"/>
              <w:spacing w:before="0" w:beforeAutospacing="0" w:after="0" w:afterAutospacing="0" w:line="265" w:lineRule="atLeast"/>
              <w:jc w:val="both"/>
            </w:pPr>
            <w:r w:rsidRPr="00233530">
              <w:t>zināšanas par valsts agrīnās brīdināšanas sistēmu;</w:t>
            </w:r>
          </w:p>
          <w:p w14:paraId="5EFEA263" w14:textId="77777777" w:rsidR="008B53A9" w:rsidRPr="00233530" w:rsidRDefault="008B53A9" w:rsidP="008B53A9">
            <w:pPr>
              <w:pStyle w:val="tv213"/>
              <w:numPr>
                <w:ilvl w:val="0"/>
                <w:numId w:val="11"/>
              </w:numPr>
              <w:shd w:val="clear" w:color="auto" w:fill="FFFFFF"/>
              <w:spacing w:before="0" w:beforeAutospacing="0" w:after="0" w:afterAutospacing="0" w:line="265" w:lineRule="atLeast"/>
              <w:jc w:val="both"/>
            </w:pPr>
            <w:r w:rsidRPr="00233530">
              <w:t>zināšanas par iestādēm, kas nodrošina katastrofu pārvaldīšanu;</w:t>
            </w:r>
          </w:p>
          <w:p w14:paraId="69A8A3A7" w14:textId="77777777" w:rsidR="008B53A9" w:rsidRPr="00233530" w:rsidRDefault="008B53A9" w:rsidP="008B53A9">
            <w:pPr>
              <w:pStyle w:val="tv213"/>
              <w:numPr>
                <w:ilvl w:val="0"/>
                <w:numId w:val="11"/>
              </w:numPr>
              <w:shd w:val="clear" w:color="auto" w:fill="FFFFFF"/>
              <w:spacing w:before="0" w:beforeAutospacing="0" w:after="0" w:afterAutospacing="0" w:line="265" w:lineRule="atLeast"/>
              <w:jc w:val="both"/>
            </w:pPr>
            <w:r w:rsidRPr="00233530">
              <w:t>zināšanas par civilās aizsardzības sistēmu;</w:t>
            </w:r>
          </w:p>
          <w:p w14:paraId="059B28E5" w14:textId="77777777" w:rsidR="008B53A9" w:rsidRDefault="008B53A9" w:rsidP="008B53A9">
            <w:pPr>
              <w:pStyle w:val="tv213"/>
              <w:numPr>
                <w:ilvl w:val="0"/>
                <w:numId w:val="11"/>
              </w:numPr>
              <w:shd w:val="clear" w:color="auto" w:fill="FFFFFF"/>
              <w:spacing w:before="0" w:beforeAutospacing="0" w:after="0" w:afterAutospacing="0" w:line="265" w:lineRule="atLeast"/>
              <w:jc w:val="both"/>
            </w:pPr>
            <w:r w:rsidRPr="00233530">
              <w:t>pirmās palīdzības sniegšanas prasmes dzīvībai kritiskās situācijās (piemēram, bīstamas asiņošanas apturēšana, atdzīvināšanas pasākumi), kā arī palīdzības izsaukšanu.</w:t>
            </w:r>
          </w:p>
          <w:p w14:paraId="2C7C89E5" w14:textId="77777777" w:rsidR="008B53A9" w:rsidRPr="003865E3" w:rsidRDefault="008B53A9" w:rsidP="008B53A9">
            <w:pPr>
              <w:pStyle w:val="tv213"/>
              <w:shd w:val="clear" w:color="auto" w:fill="FFFFFF"/>
              <w:spacing w:before="0" w:beforeAutospacing="0" w:after="0" w:afterAutospacing="0" w:line="265" w:lineRule="atLeast"/>
              <w:ind w:left="720"/>
              <w:jc w:val="both"/>
            </w:pPr>
          </w:p>
          <w:p w14:paraId="40C2F294" w14:textId="77777777" w:rsidR="008B53A9" w:rsidRPr="0024329E" w:rsidRDefault="008B53A9" w:rsidP="008B53A9">
            <w:pPr>
              <w:jc w:val="both"/>
              <w:rPr>
                <w:sz w:val="24"/>
                <w:szCs w:val="24"/>
              </w:rPr>
            </w:pPr>
            <w:r w:rsidRPr="003865E3">
              <w:rPr>
                <w:sz w:val="24"/>
                <w:szCs w:val="24"/>
                <w:shd w:val="clear" w:color="auto" w:fill="FFFFFF"/>
              </w:rPr>
              <w:t>Darba devējs civilās aizsardzības apmācību nodarbinātajiem organizē ne retāk kā reizi gadā.</w:t>
            </w:r>
          </w:p>
        </w:tc>
        <w:tc>
          <w:tcPr>
            <w:tcW w:w="1134" w:type="dxa"/>
          </w:tcPr>
          <w:p w14:paraId="11E0F02F" w14:textId="77777777" w:rsidR="008B53A9" w:rsidRPr="0024329E" w:rsidRDefault="008B53A9" w:rsidP="008B53A9">
            <w:pPr>
              <w:jc w:val="center"/>
              <w:rPr>
                <w:sz w:val="24"/>
                <w:szCs w:val="24"/>
              </w:rPr>
            </w:pPr>
            <w:r>
              <w:rPr>
                <w:sz w:val="24"/>
                <w:szCs w:val="24"/>
              </w:rPr>
              <w:lastRenderedPageBreak/>
              <w:t>2</w:t>
            </w:r>
          </w:p>
        </w:tc>
        <w:tc>
          <w:tcPr>
            <w:tcW w:w="1560" w:type="dxa"/>
          </w:tcPr>
          <w:p w14:paraId="7D6AFB6F" w14:textId="77777777" w:rsidR="008B53A9" w:rsidRPr="0024329E" w:rsidRDefault="008B53A9" w:rsidP="008B53A9">
            <w:pPr>
              <w:jc w:val="center"/>
              <w:rPr>
                <w:sz w:val="24"/>
                <w:szCs w:val="24"/>
              </w:rPr>
            </w:pPr>
            <w:r>
              <w:rPr>
                <w:sz w:val="24"/>
                <w:szCs w:val="24"/>
              </w:rPr>
              <w:t xml:space="preserve">Kompetents </w:t>
            </w:r>
            <w:r w:rsidRPr="0024329E">
              <w:rPr>
                <w:sz w:val="24"/>
                <w:szCs w:val="24"/>
              </w:rPr>
              <w:t>speciālists</w:t>
            </w:r>
            <w:r>
              <w:rPr>
                <w:sz w:val="24"/>
                <w:szCs w:val="24"/>
              </w:rPr>
              <w:t xml:space="preserve"> vai kompetenta institūcija</w:t>
            </w:r>
          </w:p>
        </w:tc>
      </w:tr>
      <w:tr w:rsidR="008B53A9" w:rsidRPr="00F21944" w14:paraId="578AAD52" w14:textId="77777777" w:rsidTr="00CB64CD">
        <w:tc>
          <w:tcPr>
            <w:tcW w:w="709" w:type="dxa"/>
          </w:tcPr>
          <w:p w14:paraId="146A17EE" w14:textId="77777777" w:rsidR="008B53A9" w:rsidRDefault="008B53A9" w:rsidP="008B53A9">
            <w:pPr>
              <w:rPr>
                <w:sz w:val="24"/>
                <w:szCs w:val="24"/>
              </w:rPr>
            </w:pPr>
            <w:r>
              <w:rPr>
                <w:sz w:val="24"/>
                <w:szCs w:val="24"/>
              </w:rPr>
              <w:t>4.2.</w:t>
            </w:r>
          </w:p>
        </w:tc>
        <w:tc>
          <w:tcPr>
            <w:tcW w:w="10631" w:type="dxa"/>
          </w:tcPr>
          <w:p w14:paraId="4524AEF9" w14:textId="77777777" w:rsidR="008B53A9" w:rsidRPr="00233530" w:rsidRDefault="008B53A9" w:rsidP="008B53A9">
            <w:pPr>
              <w:pStyle w:val="tv213"/>
              <w:spacing w:before="0" w:beforeAutospacing="0" w:after="0" w:afterAutospacing="0"/>
            </w:pPr>
            <w:r w:rsidRPr="003B012E">
              <w:t xml:space="preserve">Nodarbināto </w:t>
            </w:r>
            <w:r>
              <w:t>vietējā līmeņa teorētiskās</w:t>
            </w:r>
            <w:r w:rsidRPr="00303726">
              <w:t xml:space="preserve"> civilās aizsardzības un ka</w:t>
            </w:r>
            <w:r>
              <w:t>tastrofas pārvaldīšanas mācības. Tiek organizētas reizi trīs gados.</w:t>
            </w:r>
          </w:p>
        </w:tc>
        <w:tc>
          <w:tcPr>
            <w:tcW w:w="1134" w:type="dxa"/>
          </w:tcPr>
          <w:p w14:paraId="2B595210" w14:textId="77777777" w:rsidR="008B53A9" w:rsidRDefault="008B53A9" w:rsidP="008B53A9">
            <w:pPr>
              <w:jc w:val="center"/>
              <w:rPr>
                <w:sz w:val="24"/>
                <w:szCs w:val="24"/>
              </w:rPr>
            </w:pPr>
            <w:r>
              <w:rPr>
                <w:sz w:val="24"/>
                <w:szCs w:val="24"/>
              </w:rPr>
              <w:t>6</w:t>
            </w:r>
          </w:p>
        </w:tc>
        <w:tc>
          <w:tcPr>
            <w:tcW w:w="1560" w:type="dxa"/>
          </w:tcPr>
          <w:p w14:paraId="1CADEDDB" w14:textId="77777777" w:rsidR="008B53A9" w:rsidRDefault="008B53A9" w:rsidP="008B53A9">
            <w:pPr>
              <w:jc w:val="center"/>
              <w:rPr>
                <w:sz w:val="24"/>
                <w:szCs w:val="24"/>
              </w:rPr>
            </w:pPr>
            <w:r>
              <w:rPr>
                <w:sz w:val="24"/>
                <w:szCs w:val="24"/>
              </w:rPr>
              <w:t xml:space="preserve">Kompetents </w:t>
            </w:r>
            <w:r w:rsidRPr="0024329E">
              <w:rPr>
                <w:sz w:val="24"/>
                <w:szCs w:val="24"/>
              </w:rPr>
              <w:t>speciālists</w:t>
            </w:r>
            <w:r>
              <w:rPr>
                <w:sz w:val="24"/>
                <w:szCs w:val="24"/>
              </w:rPr>
              <w:t xml:space="preserve"> vai kompetenta institūcija</w:t>
            </w:r>
          </w:p>
        </w:tc>
      </w:tr>
    </w:tbl>
    <w:p w14:paraId="7E27F68E" w14:textId="77777777" w:rsidR="008828F9" w:rsidRDefault="008828F9" w:rsidP="007436ED">
      <w:pPr>
        <w:jc w:val="both"/>
        <w:rPr>
          <w:sz w:val="24"/>
          <w:szCs w:val="24"/>
        </w:rPr>
      </w:pPr>
    </w:p>
    <w:p w14:paraId="5E2AA8A2" w14:textId="77777777" w:rsidR="008A7696" w:rsidRDefault="008A7696" w:rsidP="007436ED"/>
    <w:p w14:paraId="25944338" w14:textId="77777777" w:rsidR="00BE2930" w:rsidRPr="00BE2930" w:rsidRDefault="00BE2930" w:rsidP="00EB6ABD">
      <w:pPr>
        <w:ind w:firstLine="720"/>
        <w:rPr>
          <w:b/>
          <w:i/>
          <w:sz w:val="24"/>
          <w:szCs w:val="24"/>
        </w:rPr>
      </w:pPr>
      <w:r w:rsidRPr="00BE2930">
        <w:rPr>
          <w:b/>
          <w:i/>
          <w:sz w:val="24"/>
          <w:szCs w:val="24"/>
        </w:rPr>
        <w:t xml:space="preserve">Piezīmes: </w:t>
      </w:r>
    </w:p>
    <w:p w14:paraId="43E37231" w14:textId="77777777" w:rsidR="00BE2930" w:rsidRDefault="00BE2930" w:rsidP="00BE2930">
      <w:pPr>
        <w:rPr>
          <w:sz w:val="24"/>
          <w:szCs w:val="24"/>
        </w:rPr>
      </w:pPr>
    </w:p>
    <w:p w14:paraId="07A09A25" w14:textId="77777777" w:rsidR="00BE2930" w:rsidRPr="00D85B8A" w:rsidRDefault="00BE2930" w:rsidP="007E1558">
      <w:pPr>
        <w:pStyle w:val="Sarakstarindkopa"/>
        <w:numPr>
          <w:ilvl w:val="0"/>
          <w:numId w:val="12"/>
        </w:numPr>
        <w:spacing w:line="276" w:lineRule="auto"/>
        <w:ind w:left="993" w:hanging="273"/>
        <w:jc w:val="both"/>
        <w:rPr>
          <w:sz w:val="24"/>
          <w:szCs w:val="24"/>
        </w:rPr>
      </w:pPr>
      <w:r w:rsidRPr="00EB6ABD">
        <w:rPr>
          <w:sz w:val="24"/>
          <w:szCs w:val="24"/>
        </w:rPr>
        <w:t xml:space="preserve">Nodarbību uzskaite, klausītāju apmeklējums, pasniedzēji </w:t>
      </w:r>
      <w:r w:rsidRPr="00D85B8A">
        <w:rPr>
          <w:sz w:val="24"/>
          <w:szCs w:val="24"/>
        </w:rPr>
        <w:t>tiek dokumentēti „Apmācības protokolu” mapē (brīvas formas).</w:t>
      </w:r>
    </w:p>
    <w:p w14:paraId="374636D6" w14:textId="77777777" w:rsidR="00EB6ABD" w:rsidRPr="00EB6ABD" w:rsidRDefault="00BE2930" w:rsidP="007E1558">
      <w:pPr>
        <w:pStyle w:val="Sarakstarindkopa"/>
        <w:numPr>
          <w:ilvl w:val="0"/>
          <w:numId w:val="12"/>
        </w:numPr>
        <w:spacing w:line="276" w:lineRule="auto"/>
        <w:ind w:left="993" w:hanging="284"/>
        <w:jc w:val="both"/>
        <w:rPr>
          <w:sz w:val="24"/>
          <w:szCs w:val="24"/>
        </w:rPr>
      </w:pPr>
      <w:r w:rsidRPr="00EB6ABD">
        <w:rPr>
          <w:sz w:val="24"/>
          <w:szCs w:val="24"/>
        </w:rPr>
        <w:t>Nodarbības tiek plānotas un veiktas darba laika ietvaros, saglabājot darbiniekiem par apmāc</w:t>
      </w:r>
      <w:r w:rsidR="00EB6ABD" w:rsidRPr="00EB6ABD">
        <w:rPr>
          <w:sz w:val="24"/>
          <w:szCs w:val="24"/>
        </w:rPr>
        <w:t>ību laiku vidējo darba samaksu.</w:t>
      </w:r>
    </w:p>
    <w:p w14:paraId="1BB28ED4" w14:textId="77777777" w:rsidR="00BE2930" w:rsidRPr="00EB6ABD" w:rsidRDefault="002D533C" w:rsidP="007E1558">
      <w:pPr>
        <w:pStyle w:val="Sarakstarindkopa"/>
        <w:spacing w:line="276" w:lineRule="auto"/>
        <w:ind w:left="993"/>
        <w:jc w:val="both"/>
        <w:rPr>
          <w:sz w:val="24"/>
          <w:szCs w:val="24"/>
        </w:rPr>
      </w:pPr>
      <w:r>
        <w:rPr>
          <w:sz w:val="24"/>
          <w:szCs w:val="24"/>
        </w:rPr>
        <w:t xml:space="preserve">Nodarbību vieta – objekta </w:t>
      </w:r>
      <w:r w:rsidR="00BE2930" w:rsidRPr="00EB6ABD">
        <w:rPr>
          <w:sz w:val="24"/>
          <w:szCs w:val="24"/>
        </w:rPr>
        <w:t xml:space="preserve">telpas. </w:t>
      </w:r>
    </w:p>
    <w:p w14:paraId="2C1E21C0" w14:textId="77777777" w:rsidR="0011216D" w:rsidRPr="00F21944" w:rsidRDefault="00BE2930" w:rsidP="007E1558">
      <w:pPr>
        <w:spacing w:line="276" w:lineRule="auto"/>
        <w:ind w:left="993" w:hanging="273"/>
        <w:jc w:val="both"/>
        <w:rPr>
          <w:sz w:val="24"/>
          <w:szCs w:val="24"/>
        </w:rPr>
      </w:pPr>
      <w:r>
        <w:rPr>
          <w:sz w:val="24"/>
          <w:szCs w:val="24"/>
        </w:rPr>
        <w:t xml:space="preserve">3. </w:t>
      </w:r>
      <w:r w:rsidR="002D533C">
        <w:rPr>
          <w:sz w:val="24"/>
          <w:szCs w:val="24"/>
        </w:rPr>
        <w:t>Objekta</w:t>
      </w:r>
      <w:r w:rsidRPr="00F21944">
        <w:rPr>
          <w:sz w:val="24"/>
          <w:szCs w:val="24"/>
        </w:rPr>
        <w:t xml:space="preserve"> darbinieku tehniskās apmācība</w:t>
      </w:r>
      <w:r w:rsidR="007E1558">
        <w:rPr>
          <w:sz w:val="24"/>
          <w:szCs w:val="24"/>
        </w:rPr>
        <w:t xml:space="preserve">s programma sastādīta, ievērojot </w:t>
      </w:r>
      <w:r w:rsidRPr="00F21944">
        <w:rPr>
          <w:sz w:val="24"/>
          <w:szCs w:val="24"/>
        </w:rPr>
        <w:t>spēkā esošo normatīvo aktu prasības, uzņēmuma iekārtu, tehnoloģisko</w:t>
      </w:r>
      <w:r w:rsidR="00621E21">
        <w:rPr>
          <w:sz w:val="24"/>
          <w:szCs w:val="24"/>
        </w:rPr>
        <w:t xml:space="preserve"> </w:t>
      </w:r>
      <w:r w:rsidRPr="00F21944">
        <w:rPr>
          <w:sz w:val="24"/>
          <w:szCs w:val="24"/>
        </w:rPr>
        <w:t xml:space="preserve">procesu un </w:t>
      </w:r>
      <w:r w:rsidR="00621E21">
        <w:rPr>
          <w:sz w:val="24"/>
          <w:szCs w:val="24"/>
        </w:rPr>
        <w:t>ķīmisk</w:t>
      </w:r>
      <w:r w:rsidRPr="00F21944">
        <w:rPr>
          <w:sz w:val="24"/>
          <w:szCs w:val="24"/>
        </w:rPr>
        <w:t>o vielu</w:t>
      </w:r>
      <w:r>
        <w:rPr>
          <w:sz w:val="24"/>
          <w:szCs w:val="24"/>
        </w:rPr>
        <w:t xml:space="preserve"> </w:t>
      </w:r>
      <w:r w:rsidRPr="00F21944">
        <w:rPr>
          <w:sz w:val="24"/>
          <w:szCs w:val="24"/>
        </w:rPr>
        <w:t>īpašības, novērtētos darba vides un rūpniecisko avāriju riskus</w:t>
      </w:r>
      <w:r>
        <w:rPr>
          <w:sz w:val="24"/>
          <w:szCs w:val="24"/>
        </w:rPr>
        <w:t>, esošo dokumentāciju.</w:t>
      </w:r>
    </w:p>
    <w:sectPr w:rsidR="0011216D" w:rsidRPr="00F21944" w:rsidSect="00CB64CD">
      <w:footerReference w:type="default" r:id="rId8"/>
      <w:pgSz w:w="15840" w:h="12240" w:orient="landscape"/>
      <w:pgMar w:top="851" w:right="956" w:bottom="1418" w:left="1134"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DC54C" w14:textId="77777777" w:rsidR="00156629" w:rsidRDefault="00156629" w:rsidP="0021252A">
      <w:r>
        <w:separator/>
      </w:r>
    </w:p>
  </w:endnote>
  <w:endnote w:type="continuationSeparator" w:id="0">
    <w:p w14:paraId="05EE0E0B" w14:textId="77777777" w:rsidR="00156629" w:rsidRDefault="00156629" w:rsidP="0021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107023"/>
      <w:docPartObj>
        <w:docPartGallery w:val="Page Numbers (Bottom of Page)"/>
        <w:docPartUnique/>
      </w:docPartObj>
    </w:sdtPr>
    <w:sdtEndPr>
      <w:rPr>
        <w:noProof/>
      </w:rPr>
    </w:sdtEndPr>
    <w:sdtContent>
      <w:p w14:paraId="04153119" w14:textId="77777777" w:rsidR="00481443" w:rsidRDefault="00481443">
        <w:pPr>
          <w:pStyle w:val="Kjene"/>
          <w:jc w:val="right"/>
        </w:pPr>
        <w:r>
          <w:fldChar w:fldCharType="begin"/>
        </w:r>
        <w:r>
          <w:instrText xml:space="preserve"> PAGE   \* MERGEFORMAT </w:instrText>
        </w:r>
        <w:r>
          <w:fldChar w:fldCharType="separate"/>
        </w:r>
        <w:r w:rsidR="006D0FBE">
          <w:rPr>
            <w:noProof/>
          </w:rPr>
          <w:t>5</w:t>
        </w:r>
        <w:r>
          <w:rPr>
            <w:noProof/>
          </w:rPr>
          <w:fldChar w:fldCharType="end"/>
        </w:r>
      </w:p>
    </w:sdtContent>
  </w:sdt>
  <w:p w14:paraId="3C09481A" w14:textId="77777777" w:rsidR="003237F2" w:rsidRDefault="003237F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C1A3E" w14:textId="77777777" w:rsidR="00156629" w:rsidRDefault="00156629" w:rsidP="0021252A">
      <w:r>
        <w:separator/>
      </w:r>
    </w:p>
  </w:footnote>
  <w:footnote w:type="continuationSeparator" w:id="0">
    <w:p w14:paraId="48F91962" w14:textId="77777777" w:rsidR="00156629" w:rsidRDefault="00156629" w:rsidP="00212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73E"/>
    <w:multiLevelType w:val="hybridMultilevel"/>
    <w:tmpl w:val="481A682C"/>
    <w:lvl w:ilvl="0" w:tplc="649ABF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C09F1"/>
    <w:multiLevelType w:val="hybridMultilevel"/>
    <w:tmpl w:val="0EA29BDA"/>
    <w:lvl w:ilvl="0" w:tplc="649ABF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451A2"/>
    <w:multiLevelType w:val="hybridMultilevel"/>
    <w:tmpl w:val="0BA89D7C"/>
    <w:lvl w:ilvl="0" w:tplc="649ABF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A216C"/>
    <w:multiLevelType w:val="hybridMultilevel"/>
    <w:tmpl w:val="BAE6B5E4"/>
    <w:lvl w:ilvl="0" w:tplc="3476E7E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45DB3"/>
    <w:multiLevelType w:val="hybridMultilevel"/>
    <w:tmpl w:val="201A0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B537E"/>
    <w:multiLevelType w:val="hybridMultilevel"/>
    <w:tmpl w:val="8C90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46041"/>
    <w:multiLevelType w:val="hybridMultilevel"/>
    <w:tmpl w:val="D77437B0"/>
    <w:lvl w:ilvl="0" w:tplc="649ABF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537B9"/>
    <w:multiLevelType w:val="hybridMultilevel"/>
    <w:tmpl w:val="03D08088"/>
    <w:lvl w:ilvl="0" w:tplc="649ABF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32AEB"/>
    <w:multiLevelType w:val="hybridMultilevel"/>
    <w:tmpl w:val="6F8CCAA8"/>
    <w:lvl w:ilvl="0" w:tplc="0409000F">
      <w:start w:val="1"/>
      <w:numFmt w:val="decimal"/>
      <w:lvlText w:val="%1."/>
      <w:lvlJc w:val="left"/>
      <w:pPr>
        <w:tabs>
          <w:tab w:val="num" w:pos="720"/>
        </w:tabs>
        <w:ind w:left="720" w:hanging="360"/>
      </w:pPr>
    </w:lvl>
    <w:lvl w:ilvl="1" w:tplc="649ABF8E">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103709"/>
    <w:multiLevelType w:val="hybridMultilevel"/>
    <w:tmpl w:val="A5D6849A"/>
    <w:lvl w:ilvl="0" w:tplc="649ABF8E">
      <w:start w:val="2"/>
      <w:numFmt w:val="bullet"/>
      <w:lvlText w:val="–"/>
      <w:lvlJc w:val="left"/>
      <w:pPr>
        <w:ind w:left="1263" w:hanging="360"/>
      </w:pPr>
      <w:rPr>
        <w:rFonts w:ascii="Times New Roman" w:eastAsia="Times New Roman" w:hAnsi="Times New Roman" w:cs="Times New Roman"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10" w15:restartNumberingAfterBreak="0">
    <w:nsid w:val="74EB3331"/>
    <w:multiLevelType w:val="hybridMultilevel"/>
    <w:tmpl w:val="1C5EBC76"/>
    <w:lvl w:ilvl="0" w:tplc="649ABF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7007F"/>
    <w:multiLevelType w:val="hybridMultilevel"/>
    <w:tmpl w:val="1E367C6E"/>
    <w:lvl w:ilvl="0" w:tplc="35F8E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2375924">
    <w:abstractNumId w:val="8"/>
  </w:num>
  <w:num w:numId="2" w16cid:durableId="2016766488">
    <w:abstractNumId w:val="4"/>
  </w:num>
  <w:num w:numId="3" w16cid:durableId="1578049854">
    <w:abstractNumId w:val="3"/>
  </w:num>
  <w:num w:numId="4" w16cid:durableId="1880825268">
    <w:abstractNumId w:val="5"/>
  </w:num>
  <w:num w:numId="5" w16cid:durableId="1192766839">
    <w:abstractNumId w:val="10"/>
  </w:num>
  <w:num w:numId="6" w16cid:durableId="993413988">
    <w:abstractNumId w:val="2"/>
  </w:num>
  <w:num w:numId="7" w16cid:durableId="4134427">
    <w:abstractNumId w:val="0"/>
  </w:num>
  <w:num w:numId="8" w16cid:durableId="870150408">
    <w:abstractNumId w:val="9"/>
  </w:num>
  <w:num w:numId="9" w16cid:durableId="583298474">
    <w:abstractNumId w:val="6"/>
  </w:num>
  <w:num w:numId="10" w16cid:durableId="1066492940">
    <w:abstractNumId w:val="1"/>
  </w:num>
  <w:num w:numId="11" w16cid:durableId="466244894">
    <w:abstractNumId w:val="7"/>
  </w:num>
  <w:num w:numId="12" w16cid:durableId="13689440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74"/>
    <w:rsid w:val="000058D4"/>
    <w:rsid w:val="000108FB"/>
    <w:rsid w:val="0002655E"/>
    <w:rsid w:val="000305D2"/>
    <w:rsid w:val="00034D93"/>
    <w:rsid w:val="00044635"/>
    <w:rsid w:val="00046A42"/>
    <w:rsid w:val="000673AF"/>
    <w:rsid w:val="00071861"/>
    <w:rsid w:val="00090093"/>
    <w:rsid w:val="00094AED"/>
    <w:rsid w:val="000A1184"/>
    <w:rsid w:val="000B6A2D"/>
    <w:rsid w:val="000C22B2"/>
    <w:rsid w:val="000C259B"/>
    <w:rsid w:val="000F2A23"/>
    <w:rsid w:val="00100374"/>
    <w:rsid w:val="001029B9"/>
    <w:rsid w:val="0010574C"/>
    <w:rsid w:val="0011216D"/>
    <w:rsid w:val="00121541"/>
    <w:rsid w:val="00131B58"/>
    <w:rsid w:val="00135535"/>
    <w:rsid w:val="00156629"/>
    <w:rsid w:val="0018422D"/>
    <w:rsid w:val="00190B4B"/>
    <w:rsid w:val="00192E73"/>
    <w:rsid w:val="001A1389"/>
    <w:rsid w:val="001B1680"/>
    <w:rsid w:val="001C420A"/>
    <w:rsid w:val="001D0625"/>
    <w:rsid w:val="001D2441"/>
    <w:rsid w:val="001D3B43"/>
    <w:rsid w:val="001D49CA"/>
    <w:rsid w:val="001D593D"/>
    <w:rsid w:val="001E316D"/>
    <w:rsid w:val="001F1ACB"/>
    <w:rsid w:val="001F48C3"/>
    <w:rsid w:val="0021252A"/>
    <w:rsid w:val="00221BF1"/>
    <w:rsid w:val="00226834"/>
    <w:rsid w:val="002328E2"/>
    <w:rsid w:val="00233530"/>
    <w:rsid w:val="00233896"/>
    <w:rsid w:val="00235F67"/>
    <w:rsid w:val="0024329E"/>
    <w:rsid w:val="002452CC"/>
    <w:rsid w:val="0024577B"/>
    <w:rsid w:val="00260228"/>
    <w:rsid w:val="00267AD2"/>
    <w:rsid w:val="00270277"/>
    <w:rsid w:val="002736F6"/>
    <w:rsid w:val="00277CF1"/>
    <w:rsid w:val="00280E14"/>
    <w:rsid w:val="00296A9A"/>
    <w:rsid w:val="002A1A68"/>
    <w:rsid w:val="002C4210"/>
    <w:rsid w:val="002D3291"/>
    <w:rsid w:val="002D533C"/>
    <w:rsid w:val="002D647C"/>
    <w:rsid w:val="002E0E97"/>
    <w:rsid w:val="002E23F0"/>
    <w:rsid w:val="002F26F7"/>
    <w:rsid w:val="002F39CD"/>
    <w:rsid w:val="002F4E5B"/>
    <w:rsid w:val="0030020A"/>
    <w:rsid w:val="003237F2"/>
    <w:rsid w:val="00355427"/>
    <w:rsid w:val="00356374"/>
    <w:rsid w:val="0036194D"/>
    <w:rsid w:val="00370FB4"/>
    <w:rsid w:val="00371B1C"/>
    <w:rsid w:val="003762BC"/>
    <w:rsid w:val="00376E62"/>
    <w:rsid w:val="00377C6B"/>
    <w:rsid w:val="003865E3"/>
    <w:rsid w:val="00391D48"/>
    <w:rsid w:val="00393E79"/>
    <w:rsid w:val="003A53E8"/>
    <w:rsid w:val="003B6BDF"/>
    <w:rsid w:val="003C29BF"/>
    <w:rsid w:val="003C4AED"/>
    <w:rsid w:val="003E198C"/>
    <w:rsid w:val="003E34F3"/>
    <w:rsid w:val="003E716E"/>
    <w:rsid w:val="003E7674"/>
    <w:rsid w:val="003F3EA5"/>
    <w:rsid w:val="00400D29"/>
    <w:rsid w:val="00430371"/>
    <w:rsid w:val="00430AFC"/>
    <w:rsid w:val="004455A5"/>
    <w:rsid w:val="00454068"/>
    <w:rsid w:val="0046040C"/>
    <w:rsid w:val="004639F8"/>
    <w:rsid w:val="00470E90"/>
    <w:rsid w:val="004714D0"/>
    <w:rsid w:val="004728CB"/>
    <w:rsid w:val="00481443"/>
    <w:rsid w:val="00481B15"/>
    <w:rsid w:val="0049006F"/>
    <w:rsid w:val="004911F4"/>
    <w:rsid w:val="00494E1C"/>
    <w:rsid w:val="004A126E"/>
    <w:rsid w:val="004A1D78"/>
    <w:rsid w:val="004A7FE0"/>
    <w:rsid w:val="004D6C47"/>
    <w:rsid w:val="004E70C7"/>
    <w:rsid w:val="004E7B10"/>
    <w:rsid w:val="004F279F"/>
    <w:rsid w:val="004F4509"/>
    <w:rsid w:val="00502442"/>
    <w:rsid w:val="0051139C"/>
    <w:rsid w:val="00511B72"/>
    <w:rsid w:val="00527FEE"/>
    <w:rsid w:val="00535153"/>
    <w:rsid w:val="00535B7F"/>
    <w:rsid w:val="00550D1B"/>
    <w:rsid w:val="005554EF"/>
    <w:rsid w:val="00583CC9"/>
    <w:rsid w:val="00595979"/>
    <w:rsid w:val="00597B4D"/>
    <w:rsid w:val="005A581A"/>
    <w:rsid w:val="005B3E10"/>
    <w:rsid w:val="005B5BF8"/>
    <w:rsid w:val="005D5D44"/>
    <w:rsid w:val="005D5DB2"/>
    <w:rsid w:val="005E098C"/>
    <w:rsid w:val="005F0A4E"/>
    <w:rsid w:val="005F221D"/>
    <w:rsid w:val="005F462D"/>
    <w:rsid w:val="005F47C1"/>
    <w:rsid w:val="005F6E74"/>
    <w:rsid w:val="00607E10"/>
    <w:rsid w:val="00621E21"/>
    <w:rsid w:val="006239B8"/>
    <w:rsid w:val="006256CB"/>
    <w:rsid w:val="00627704"/>
    <w:rsid w:val="00632375"/>
    <w:rsid w:val="0064133B"/>
    <w:rsid w:val="00641BC8"/>
    <w:rsid w:val="0064436F"/>
    <w:rsid w:val="00665EE9"/>
    <w:rsid w:val="00674692"/>
    <w:rsid w:val="00677070"/>
    <w:rsid w:val="00686704"/>
    <w:rsid w:val="00690CD3"/>
    <w:rsid w:val="00693697"/>
    <w:rsid w:val="006961A8"/>
    <w:rsid w:val="006A3138"/>
    <w:rsid w:val="006A4470"/>
    <w:rsid w:val="006B0EB4"/>
    <w:rsid w:val="006D0CEC"/>
    <w:rsid w:val="006D0FBE"/>
    <w:rsid w:val="006D13E6"/>
    <w:rsid w:val="006D30B2"/>
    <w:rsid w:val="006D4A7E"/>
    <w:rsid w:val="006E0AD2"/>
    <w:rsid w:val="006F2B69"/>
    <w:rsid w:val="00701BF8"/>
    <w:rsid w:val="007047A2"/>
    <w:rsid w:val="00705B0D"/>
    <w:rsid w:val="00711D27"/>
    <w:rsid w:val="00723F59"/>
    <w:rsid w:val="00724FAE"/>
    <w:rsid w:val="00725968"/>
    <w:rsid w:val="00731833"/>
    <w:rsid w:val="0073342A"/>
    <w:rsid w:val="007436ED"/>
    <w:rsid w:val="00771B79"/>
    <w:rsid w:val="00772F51"/>
    <w:rsid w:val="00782F9B"/>
    <w:rsid w:val="00791A67"/>
    <w:rsid w:val="007A3E98"/>
    <w:rsid w:val="007A722F"/>
    <w:rsid w:val="007B1468"/>
    <w:rsid w:val="007C40F1"/>
    <w:rsid w:val="007D24B5"/>
    <w:rsid w:val="007D3DB7"/>
    <w:rsid w:val="007D70D0"/>
    <w:rsid w:val="007D76B5"/>
    <w:rsid w:val="007D799D"/>
    <w:rsid w:val="007E1558"/>
    <w:rsid w:val="007E28BB"/>
    <w:rsid w:val="007F26E3"/>
    <w:rsid w:val="007F31B2"/>
    <w:rsid w:val="008029C2"/>
    <w:rsid w:val="00802B45"/>
    <w:rsid w:val="008308FA"/>
    <w:rsid w:val="00842794"/>
    <w:rsid w:val="00852C92"/>
    <w:rsid w:val="00856C69"/>
    <w:rsid w:val="008657E2"/>
    <w:rsid w:val="00866CFB"/>
    <w:rsid w:val="0088165C"/>
    <w:rsid w:val="008828F9"/>
    <w:rsid w:val="008907A2"/>
    <w:rsid w:val="008922F4"/>
    <w:rsid w:val="008A2A2B"/>
    <w:rsid w:val="008A7696"/>
    <w:rsid w:val="008B1394"/>
    <w:rsid w:val="008B4166"/>
    <w:rsid w:val="008B53A9"/>
    <w:rsid w:val="008C56C6"/>
    <w:rsid w:val="008C7D01"/>
    <w:rsid w:val="008E5D73"/>
    <w:rsid w:val="008F2405"/>
    <w:rsid w:val="008F3267"/>
    <w:rsid w:val="008F4B76"/>
    <w:rsid w:val="00902130"/>
    <w:rsid w:val="00914AF5"/>
    <w:rsid w:val="00921857"/>
    <w:rsid w:val="0092736B"/>
    <w:rsid w:val="00930FF2"/>
    <w:rsid w:val="00942B09"/>
    <w:rsid w:val="00943D25"/>
    <w:rsid w:val="009639A9"/>
    <w:rsid w:val="0098547B"/>
    <w:rsid w:val="009856BC"/>
    <w:rsid w:val="00987608"/>
    <w:rsid w:val="00990226"/>
    <w:rsid w:val="00990452"/>
    <w:rsid w:val="009971C0"/>
    <w:rsid w:val="009A03C5"/>
    <w:rsid w:val="009A37C5"/>
    <w:rsid w:val="009B184B"/>
    <w:rsid w:val="009B466E"/>
    <w:rsid w:val="009B7268"/>
    <w:rsid w:val="009C1958"/>
    <w:rsid w:val="009C6D67"/>
    <w:rsid w:val="009C74E0"/>
    <w:rsid w:val="009D2A4F"/>
    <w:rsid w:val="009E17BA"/>
    <w:rsid w:val="009F3DCB"/>
    <w:rsid w:val="009F4714"/>
    <w:rsid w:val="009F6985"/>
    <w:rsid w:val="009F70DD"/>
    <w:rsid w:val="00A023C9"/>
    <w:rsid w:val="00A10D03"/>
    <w:rsid w:val="00A20DD1"/>
    <w:rsid w:val="00A24681"/>
    <w:rsid w:val="00A279D8"/>
    <w:rsid w:val="00A30B7F"/>
    <w:rsid w:val="00A4212A"/>
    <w:rsid w:val="00A4637B"/>
    <w:rsid w:val="00A66EF1"/>
    <w:rsid w:val="00A8780C"/>
    <w:rsid w:val="00A9128C"/>
    <w:rsid w:val="00A92CA7"/>
    <w:rsid w:val="00A961AD"/>
    <w:rsid w:val="00A97141"/>
    <w:rsid w:val="00AA7DAF"/>
    <w:rsid w:val="00AB6034"/>
    <w:rsid w:val="00AB6298"/>
    <w:rsid w:val="00AB7238"/>
    <w:rsid w:val="00AC170D"/>
    <w:rsid w:val="00AC5CBC"/>
    <w:rsid w:val="00AC6977"/>
    <w:rsid w:val="00AD154A"/>
    <w:rsid w:val="00AD2B49"/>
    <w:rsid w:val="00AE54CE"/>
    <w:rsid w:val="00AF1BF0"/>
    <w:rsid w:val="00B01367"/>
    <w:rsid w:val="00B15AC0"/>
    <w:rsid w:val="00B2294C"/>
    <w:rsid w:val="00B2594E"/>
    <w:rsid w:val="00B32728"/>
    <w:rsid w:val="00B35007"/>
    <w:rsid w:val="00B36B22"/>
    <w:rsid w:val="00B37A24"/>
    <w:rsid w:val="00B53B6F"/>
    <w:rsid w:val="00B55C20"/>
    <w:rsid w:val="00B62FE1"/>
    <w:rsid w:val="00B811DE"/>
    <w:rsid w:val="00B8300F"/>
    <w:rsid w:val="00B83F9F"/>
    <w:rsid w:val="00B91654"/>
    <w:rsid w:val="00BA1B1B"/>
    <w:rsid w:val="00BA6141"/>
    <w:rsid w:val="00BA6EA2"/>
    <w:rsid w:val="00BB38FD"/>
    <w:rsid w:val="00BC6F79"/>
    <w:rsid w:val="00BD655F"/>
    <w:rsid w:val="00BE2930"/>
    <w:rsid w:val="00BE72DA"/>
    <w:rsid w:val="00BF6B1E"/>
    <w:rsid w:val="00BF6FAC"/>
    <w:rsid w:val="00C01E53"/>
    <w:rsid w:val="00C109EB"/>
    <w:rsid w:val="00C2166F"/>
    <w:rsid w:val="00C26DFA"/>
    <w:rsid w:val="00C36CE4"/>
    <w:rsid w:val="00C37142"/>
    <w:rsid w:val="00C661BF"/>
    <w:rsid w:val="00C73511"/>
    <w:rsid w:val="00C75820"/>
    <w:rsid w:val="00C80256"/>
    <w:rsid w:val="00C8321E"/>
    <w:rsid w:val="00C951E4"/>
    <w:rsid w:val="00CA2F3C"/>
    <w:rsid w:val="00CA5153"/>
    <w:rsid w:val="00CB64CD"/>
    <w:rsid w:val="00CD0C08"/>
    <w:rsid w:val="00CD0D30"/>
    <w:rsid w:val="00CD624E"/>
    <w:rsid w:val="00CE0F02"/>
    <w:rsid w:val="00CE448A"/>
    <w:rsid w:val="00CE7F43"/>
    <w:rsid w:val="00CF082E"/>
    <w:rsid w:val="00CF4378"/>
    <w:rsid w:val="00CF4993"/>
    <w:rsid w:val="00CF6E51"/>
    <w:rsid w:val="00D07093"/>
    <w:rsid w:val="00D07C31"/>
    <w:rsid w:val="00D10B51"/>
    <w:rsid w:val="00D1127E"/>
    <w:rsid w:val="00D11C92"/>
    <w:rsid w:val="00D14E34"/>
    <w:rsid w:val="00D16587"/>
    <w:rsid w:val="00D2291C"/>
    <w:rsid w:val="00D41040"/>
    <w:rsid w:val="00D42B6E"/>
    <w:rsid w:val="00D44326"/>
    <w:rsid w:val="00D475FA"/>
    <w:rsid w:val="00D52220"/>
    <w:rsid w:val="00D568BC"/>
    <w:rsid w:val="00D631AB"/>
    <w:rsid w:val="00D63F1D"/>
    <w:rsid w:val="00D760CE"/>
    <w:rsid w:val="00D8021C"/>
    <w:rsid w:val="00D80283"/>
    <w:rsid w:val="00D826D2"/>
    <w:rsid w:val="00D85B8A"/>
    <w:rsid w:val="00D91967"/>
    <w:rsid w:val="00D973DF"/>
    <w:rsid w:val="00DA3FE4"/>
    <w:rsid w:val="00DA6F86"/>
    <w:rsid w:val="00DC4B67"/>
    <w:rsid w:val="00DD1745"/>
    <w:rsid w:val="00DD1E2F"/>
    <w:rsid w:val="00DF3EB4"/>
    <w:rsid w:val="00DF7B9D"/>
    <w:rsid w:val="00E017E4"/>
    <w:rsid w:val="00E01C5F"/>
    <w:rsid w:val="00E04204"/>
    <w:rsid w:val="00E13B1F"/>
    <w:rsid w:val="00E251DF"/>
    <w:rsid w:val="00E34236"/>
    <w:rsid w:val="00E36D59"/>
    <w:rsid w:val="00E51103"/>
    <w:rsid w:val="00E56099"/>
    <w:rsid w:val="00E65577"/>
    <w:rsid w:val="00E6784A"/>
    <w:rsid w:val="00E71BBD"/>
    <w:rsid w:val="00E7640E"/>
    <w:rsid w:val="00E85EEE"/>
    <w:rsid w:val="00E87FAC"/>
    <w:rsid w:val="00E916D3"/>
    <w:rsid w:val="00E91CB4"/>
    <w:rsid w:val="00EA0C5D"/>
    <w:rsid w:val="00EA56FC"/>
    <w:rsid w:val="00EB6ABD"/>
    <w:rsid w:val="00ED6B02"/>
    <w:rsid w:val="00EE5086"/>
    <w:rsid w:val="00EF4287"/>
    <w:rsid w:val="00F001D9"/>
    <w:rsid w:val="00F06B3E"/>
    <w:rsid w:val="00F076C9"/>
    <w:rsid w:val="00F334FB"/>
    <w:rsid w:val="00F34E5B"/>
    <w:rsid w:val="00F4695D"/>
    <w:rsid w:val="00F53EE0"/>
    <w:rsid w:val="00F556D9"/>
    <w:rsid w:val="00F8446C"/>
    <w:rsid w:val="00F857DC"/>
    <w:rsid w:val="00F94B16"/>
    <w:rsid w:val="00FA18B1"/>
    <w:rsid w:val="00FA1F43"/>
    <w:rsid w:val="00FA2694"/>
    <w:rsid w:val="00FA2BFC"/>
    <w:rsid w:val="00FA3FCE"/>
    <w:rsid w:val="00FA518F"/>
    <w:rsid w:val="00FA54F8"/>
    <w:rsid w:val="00FA6CA7"/>
    <w:rsid w:val="00FB0BD9"/>
    <w:rsid w:val="00FB0F41"/>
    <w:rsid w:val="00FB2901"/>
    <w:rsid w:val="00FB315C"/>
    <w:rsid w:val="00FB6144"/>
    <w:rsid w:val="00FC7625"/>
    <w:rsid w:val="00FD54DD"/>
    <w:rsid w:val="00FD5E84"/>
    <w:rsid w:val="00FE1891"/>
    <w:rsid w:val="00FF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A382"/>
  <w15:docId w15:val="{B5666F76-52E9-49B6-B836-1CD47ED9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216D"/>
    <w:rPr>
      <w:rFonts w:ascii="Times New Roman" w:eastAsia="Times New Roman" w:hAnsi="Times New Roman" w:cs="Times New Roman"/>
      <w:sz w:val="20"/>
      <w:szCs w:val="20"/>
    </w:rPr>
  </w:style>
  <w:style w:type="paragraph" w:styleId="Virsraksts2">
    <w:name w:val="heading 2"/>
    <w:basedOn w:val="Parasts"/>
    <w:next w:val="Parasts"/>
    <w:link w:val="Virsraksts2Rakstz"/>
    <w:qFormat/>
    <w:rsid w:val="0011216D"/>
    <w:pPr>
      <w:keepNext/>
      <w:spacing w:before="240" w:after="60"/>
      <w:outlineLvl w:val="1"/>
    </w:pPr>
    <w:rPr>
      <w:rFonts w:ascii="Arial" w:hAnsi="Arial"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11216D"/>
    <w:rPr>
      <w:rFonts w:ascii="Arial" w:eastAsia="Times New Roman" w:hAnsi="Arial" w:cs="Arial"/>
      <w:b/>
      <w:bCs/>
      <w:i/>
      <w:iCs/>
      <w:sz w:val="28"/>
      <w:szCs w:val="28"/>
    </w:rPr>
  </w:style>
  <w:style w:type="paragraph" w:styleId="Sarakstarindkopa">
    <w:name w:val="List Paragraph"/>
    <w:basedOn w:val="Parasts"/>
    <w:uiPriority w:val="34"/>
    <w:qFormat/>
    <w:rsid w:val="00BE2930"/>
    <w:pPr>
      <w:ind w:left="720"/>
      <w:contextualSpacing/>
    </w:pPr>
  </w:style>
  <w:style w:type="paragraph" w:customStyle="1" w:styleId="tv213">
    <w:name w:val="tv213"/>
    <w:basedOn w:val="Parasts"/>
    <w:rsid w:val="00BE2930"/>
    <w:pPr>
      <w:spacing w:before="100" w:beforeAutospacing="1" w:after="100" w:afterAutospacing="1"/>
    </w:pPr>
    <w:rPr>
      <w:sz w:val="24"/>
      <w:szCs w:val="24"/>
      <w:lang w:eastAsia="lv-LV"/>
    </w:rPr>
  </w:style>
  <w:style w:type="paragraph" w:styleId="Galvene">
    <w:name w:val="header"/>
    <w:basedOn w:val="Parasts"/>
    <w:link w:val="GalveneRakstz"/>
    <w:uiPriority w:val="99"/>
    <w:unhideWhenUsed/>
    <w:rsid w:val="0021252A"/>
    <w:pPr>
      <w:tabs>
        <w:tab w:val="center" w:pos="4844"/>
        <w:tab w:val="right" w:pos="9689"/>
      </w:tabs>
    </w:pPr>
  </w:style>
  <w:style w:type="character" w:customStyle="1" w:styleId="GalveneRakstz">
    <w:name w:val="Galvene Rakstz."/>
    <w:basedOn w:val="Noklusjumarindkopasfonts"/>
    <w:link w:val="Galvene"/>
    <w:uiPriority w:val="99"/>
    <w:rsid w:val="0021252A"/>
    <w:rPr>
      <w:rFonts w:ascii="Times New Roman" w:eastAsia="Times New Roman" w:hAnsi="Times New Roman" w:cs="Times New Roman"/>
      <w:sz w:val="20"/>
      <w:szCs w:val="20"/>
    </w:rPr>
  </w:style>
  <w:style w:type="paragraph" w:styleId="Kjene">
    <w:name w:val="footer"/>
    <w:basedOn w:val="Parasts"/>
    <w:link w:val="KjeneRakstz"/>
    <w:uiPriority w:val="99"/>
    <w:unhideWhenUsed/>
    <w:rsid w:val="0021252A"/>
    <w:pPr>
      <w:tabs>
        <w:tab w:val="center" w:pos="4844"/>
        <w:tab w:val="right" w:pos="9689"/>
      </w:tabs>
    </w:pPr>
  </w:style>
  <w:style w:type="character" w:customStyle="1" w:styleId="KjeneRakstz">
    <w:name w:val="Kājene Rakstz."/>
    <w:basedOn w:val="Noklusjumarindkopasfonts"/>
    <w:link w:val="Kjene"/>
    <w:uiPriority w:val="99"/>
    <w:rsid w:val="0021252A"/>
    <w:rPr>
      <w:rFonts w:ascii="Times New Roman" w:eastAsia="Times New Roman" w:hAnsi="Times New Roman" w:cs="Times New Roman"/>
      <w:sz w:val="20"/>
      <w:szCs w:val="20"/>
    </w:rPr>
  </w:style>
  <w:style w:type="table" w:styleId="Reatabula">
    <w:name w:val="Table Grid"/>
    <w:basedOn w:val="Parastatabula"/>
    <w:uiPriority w:val="59"/>
    <w:rsid w:val="007A72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D9196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91967"/>
    <w:rPr>
      <w:rFonts w:ascii="Tahoma" w:eastAsia="Times New Roman" w:hAnsi="Tahoma" w:cs="Tahoma"/>
      <w:sz w:val="16"/>
      <w:szCs w:val="16"/>
    </w:rPr>
  </w:style>
  <w:style w:type="paragraph" w:styleId="Nosaukums">
    <w:name w:val="Title"/>
    <w:aliases w:val="teksts"/>
    <w:basedOn w:val="Parasts"/>
    <w:link w:val="NosaukumsRakstz"/>
    <w:qFormat/>
    <w:rsid w:val="00CB64CD"/>
    <w:pPr>
      <w:spacing w:before="240" w:after="60"/>
      <w:jc w:val="center"/>
      <w:outlineLvl w:val="0"/>
    </w:pPr>
    <w:rPr>
      <w:rFonts w:ascii="Arial" w:hAnsi="Arial"/>
      <w:b/>
      <w:kern w:val="28"/>
      <w:sz w:val="32"/>
    </w:rPr>
  </w:style>
  <w:style w:type="character" w:customStyle="1" w:styleId="NosaukumsRakstz">
    <w:name w:val="Nosaukums Rakstz."/>
    <w:aliases w:val="teksts Rakstz."/>
    <w:basedOn w:val="Noklusjumarindkopasfonts"/>
    <w:link w:val="Nosaukums"/>
    <w:rsid w:val="00CB64CD"/>
    <w:rPr>
      <w:rFonts w:ascii="Arial" w:eastAsia="Times New Roman" w:hAnsi="Arial" w:cs="Times New Roman"/>
      <w:b/>
      <w:kern w:val="28"/>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4429">
      <w:bodyDiv w:val="1"/>
      <w:marLeft w:val="0"/>
      <w:marRight w:val="0"/>
      <w:marTop w:val="0"/>
      <w:marBottom w:val="0"/>
      <w:divBdr>
        <w:top w:val="none" w:sz="0" w:space="0" w:color="auto"/>
        <w:left w:val="none" w:sz="0" w:space="0" w:color="auto"/>
        <w:bottom w:val="none" w:sz="0" w:space="0" w:color="auto"/>
        <w:right w:val="none" w:sz="0" w:space="0" w:color="auto"/>
      </w:divBdr>
    </w:div>
    <w:div w:id="260451194">
      <w:bodyDiv w:val="1"/>
      <w:marLeft w:val="0"/>
      <w:marRight w:val="0"/>
      <w:marTop w:val="0"/>
      <w:marBottom w:val="0"/>
      <w:divBdr>
        <w:top w:val="none" w:sz="0" w:space="0" w:color="auto"/>
        <w:left w:val="none" w:sz="0" w:space="0" w:color="auto"/>
        <w:bottom w:val="none" w:sz="0" w:space="0" w:color="auto"/>
        <w:right w:val="none" w:sz="0" w:space="0" w:color="auto"/>
      </w:divBdr>
    </w:div>
    <w:div w:id="516967799">
      <w:bodyDiv w:val="1"/>
      <w:marLeft w:val="0"/>
      <w:marRight w:val="0"/>
      <w:marTop w:val="0"/>
      <w:marBottom w:val="0"/>
      <w:divBdr>
        <w:top w:val="none" w:sz="0" w:space="0" w:color="auto"/>
        <w:left w:val="none" w:sz="0" w:space="0" w:color="auto"/>
        <w:bottom w:val="none" w:sz="0" w:space="0" w:color="auto"/>
        <w:right w:val="none" w:sz="0" w:space="0" w:color="auto"/>
      </w:divBdr>
    </w:div>
    <w:div w:id="758915175">
      <w:bodyDiv w:val="1"/>
      <w:marLeft w:val="0"/>
      <w:marRight w:val="0"/>
      <w:marTop w:val="0"/>
      <w:marBottom w:val="0"/>
      <w:divBdr>
        <w:top w:val="none" w:sz="0" w:space="0" w:color="auto"/>
        <w:left w:val="none" w:sz="0" w:space="0" w:color="auto"/>
        <w:bottom w:val="none" w:sz="0" w:space="0" w:color="auto"/>
        <w:right w:val="none" w:sz="0" w:space="0" w:color="auto"/>
      </w:divBdr>
    </w:div>
    <w:div w:id="1128668064">
      <w:bodyDiv w:val="1"/>
      <w:marLeft w:val="0"/>
      <w:marRight w:val="0"/>
      <w:marTop w:val="0"/>
      <w:marBottom w:val="0"/>
      <w:divBdr>
        <w:top w:val="none" w:sz="0" w:space="0" w:color="auto"/>
        <w:left w:val="none" w:sz="0" w:space="0" w:color="auto"/>
        <w:bottom w:val="none" w:sz="0" w:space="0" w:color="auto"/>
        <w:right w:val="none" w:sz="0" w:space="0" w:color="auto"/>
      </w:divBdr>
    </w:div>
    <w:div w:id="1285232442">
      <w:bodyDiv w:val="1"/>
      <w:marLeft w:val="0"/>
      <w:marRight w:val="0"/>
      <w:marTop w:val="0"/>
      <w:marBottom w:val="0"/>
      <w:divBdr>
        <w:top w:val="none" w:sz="0" w:space="0" w:color="auto"/>
        <w:left w:val="none" w:sz="0" w:space="0" w:color="auto"/>
        <w:bottom w:val="none" w:sz="0" w:space="0" w:color="auto"/>
        <w:right w:val="none" w:sz="0" w:space="0" w:color="auto"/>
      </w:divBdr>
    </w:div>
    <w:div w:id="19720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DC084-09D2-44A4-BFF9-C648F583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5070</Words>
  <Characters>2890</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Sintija Biša</cp:lastModifiedBy>
  <cp:revision>2</cp:revision>
  <cp:lastPrinted>2019-10-14T07:16:00Z</cp:lastPrinted>
  <dcterms:created xsi:type="dcterms:W3CDTF">2024-10-07T08:47:00Z</dcterms:created>
  <dcterms:modified xsi:type="dcterms:W3CDTF">2024-10-07T08:47:00Z</dcterms:modified>
</cp:coreProperties>
</file>