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82CB" w14:textId="77777777" w:rsidR="00E6080E" w:rsidRPr="00F57BFF" w:rsidRDefault="00000000" w:rsidP="00F57BFF">
      <w:pPr>
        <w:spacing w:after="0" w:line="240" w:lineRule="auto"/>
        <w:ind w:left="360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                 1. </w:t>
      </w:r>
      <w:r w:rsidRPr="00F57BFF">
        <w:rPr>
          <w:rFonts w:ascii="Arial" w:eastAsia="Times New Roman" w:hAnsi="Arial" w:cs="Arial"/>
          <w:color w:val="000000"/>
          <w:lang w:eastAsia="lv-LV"/>
        </w:rPr>
        <w:t>PIELIKUMS</w:t>
      </w:r>
    </w:p>
    <w:p w14:paraId="1B849B3C" w14:textId="77777777" w:rsidR="00E6080E" w:rsidRDefault="00000000" w:rsidP="00F57BF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</w:t>
      </w:r>
      <w:r w:rsidR="00D660F1">
        <w:rPr>
          <w:rFonts w:ascii="Arial" w:eastAsia="Times New Roman" w:hAnsi="Arial" w:cs="Arial"/>
          <w:color w:val="000000"/>
          <w:lang w:eastAsia="lv-LV"/>
        </w:rPr>
        <w:t xml:space="preserve">Liepājas </w:t>
      </w:r>
      <w:proofErr w:type="spellStart"/>
      <w:r w:rsidR="00D660F1">
        <w:rPr>
          <w:rFonts w:ascii="Arial" w:eastAsia="Times New Roman" w:hAnsi="Arial" w:cs="Arial"/>
          <w:color w:val="000000"/>
          <w:lang w:eastAsia="lv-LV"/>
        </w:rPr>
        <w:t>valstspilsētas</w:t>
      </w:r>
      <w:proofErr w:type="spellEnd"/>
      <w:r w:rsidR="00D660F1">
        <w:rPr>
          <w:rFonts w:ascii="Arial" w:eastAsia="Times New Roman" w:hAnsi="Arial" w:cs="Arial"/>
          <w:color w:val="000000"/>
          <w:lang w:eastAsia="lv-LV"/>
        </w:rPr>
        <w:t xml:space="preserve"> pašvaldības </w:t>
      </w:r>
    </w:p>
    <w:p w14:paraId="49441F71" w14:textId="77777777" w:rsidR="00E6080E" w:rsidRDefault="00000000" w:rsidP="00F57BFF">
      <w:pPr>
        <w:spacing w:after="0" w:line="240" w:lineRule="auto"/>
        <w:ind w:left="5760" w:firstLine="336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</w:t>
      </w:r>
      <w:r w:rsidR="00DA2377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D660F1">
        <w:rPr>
          <w:rFonts w:ascii="Arial" w:eastAsia="Times New Roman" w:hAnsi="Arial" w:cs="Arial"/>
          <w:color w:val="000000"/>
          <w:lang w:eastAsia="lv-LV"/>
        </w:rPr>
        <w:t xml:space="preserve">domes 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202</w:t>
      </w:r>
      <w:r w:rsidR="004C2313">
        <w:rPr>
          <w:rFonts w:ascii="Arial" w:eastAsia="Times New Roman" w:hAnsi="Arial" w:cs="Arial"/>
          <w:color w:val="000000"/>
          <w:lang w:eastAsia="lv-LV"/>
        </w:rPr>
        <w:t>4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.</w:t>
      </w:r>
      <w:r w:rsidR="00DA2377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gada 2</w:t>
      </w:r>
      <w:r w:rsidR="004C2313">
        <w:rPr>
          <w:rFonts w:ascii="Arial" w:eastAsia="Times New Roman" w:hAnsi="Arial" w:cs="Arial"/>
          <w:color w:val="000000"/>
          <w:lang w:eastAsia="lv-LV"/>
        </w:rPr>
        <w:t>1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.</w:t>
      </w:r>
      <w:r w:rsidR="00DA2377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D660F1" w:rsidRPr="00D660F1">
        <w:rPr>
          <w:rFonts w:ascii="Arial" w:eastAsia="Times New Roman" w:hAnsi="Arial" w:cs="Arial"/>
          <w:color w:val="000000"/>
          <w:lang w:eastAsia="lv-LV"/>
        </w:rPr>
        <w:t>marta</w:t>
      </w:r>
    </w:p>
    <w:p w14:paraId="5577194D" w14:textId="77777777" w:rsidR="00E6080E" w:rsidRDefault="00000000" w:rsidP="00F57BFF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</w:t>
      </w:r>
      <w:r w:rsidR="00F57BFF">
        <w:rPr>
          <w:rFonts w:ascii="Arial" w:eastAsia="Times New Roman" w:hAnsi="Arial" w:cs="Arial"/>
          <w:color w:val="000000"/>
          <w:lang w:eastAsia="lv-LV"/>
        </w:rPr>
        <w:t xml:space="preserve">                       </w:t>
      </w:r>
      <w:r>
        <w:rPr>
          <w:rFonts w:ascii="Arial" w:eastAsia="Times New Roman" w:hAnsi="Arial" w:cs="Arial"/>
          <w:color w:val="000000"/>
          <w:lang w:eastAsia="lv-LV"/>
        </w:rPr>
        <w:t>noteikumiem Nr.</w:t>
      </w:r>
      <w:r w:rsidR="000828C1">
        <w:rPr>
          <w:rFonts w:ascii="Arial" w:eastAsia="Times New Roman" w:hAnsi="Arial" w:cs="Arial"/>
          <w:color w:val="000000"/>
          <w:lang w:eastAsia="lv-LV"/>
        </w:rPr>
        <w:t>4</w:t>
      </w:r>
    </w:p>
    <w:p w14:paraId="5512845A" w14:textId="77777777" w:rsidR="00E6080E" w:rsidRPr="00F57BFF" w:rsidRDefault="00E6080E" w:rsidP="00F57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6406"/>
        <w:gridCol w:w="2584"/>
      </w:tblGrid>
      <w:tr w:rsidR="00021CC0" w14:paraId="4E12AB59" w14:textId="77777777" w:rsidTr="004C231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4151" w14:textId="77777777" w:rsidR="00E6080E" w:rsidRDefault="00000000">
            <w:pPr>
              <w:shd w:val="clear" w:color="auto" w:fill="FFFFFF"/>
              <w:spacing w:before="240"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Administratīvie kritēriji</w:t>
            </w:r>
          </w:p>
        </w:tc>
      </w:tr>
      <w:tr w:rsidR="00021CC0" w14:paraId="1D78CFE3" w14:textId="77777777" w:rsidTr="004C2313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456E4" w14:textId="77777777" w:rsidR="00E6080E" w:rsidRDefault="00000000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N</w:t>
            </w:r>
            <w:r w:rsidR="00F57BFF">
              <w:rPr>
                <w:rFonts w:ascii="Arial" w:eastAsia="Times New Roman" w:hAnsi="Arial" w:cs="Arial"/>
                <w:color w:val="000000"/>
                <w:lang w:eastAsia="lv-LV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 p.k.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62F57" w14:textId="77777777" w:rsidR="00E6080E" w:rsidRDefault="00000000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Kritērijs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</w:tblGrid>
            <w:tr w:rsidR="00021CC0" w14:paraId="0B556C5A" w14:textId="77777777">
              <w:trPr>
                <w:trHeight w:val="455"/>
              </w:trPr>
              <w:tc>
                <w:tcPr>
                  <w:tcW w:w="0" w:type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2B12CD29" w14:textId="77777777" w:rsidR="00E6080E" w:rsidRDefault="00000000" w:rsidP="00F57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lv-LV"/>
                    </w:rPr>
                    <w:t>Vērtēšanas sistēma (punkti)</w:t>
                  </w:r>
                </w:p>
              </w:tc>
            </w:tr>
          </w:tbl>
          <w:p w14:paraId="672A63A1" w14:textId="77777777" w:rsidR="00F57BF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    </w:t>
            </w:r>
            <w:r w:rsidR="00D660F1">
              <w:rPr>
                <w:rFonts w:ascii="Arial" w:eastAsia="Times New Roman" w:hAnsi="Arial" w:cs="Arial"/>
                <w:color w:val="000000"/>
                <w:lang w:eastAsia="lv-LV"/>
              </w:rPr>
              <w:t xml:space="preserve">atbilst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 w:rsidR="00D660F1">
              <w:rPr>
                <w:rFonts w:ascii="Arial" w:eastAsia="Times New Roman" w:hAnsi="Arial" w:cs="Arial"/>
                <w:color w:val="000000"/>
                <w:lang w:eastAsia="lv-LV"/>
              </w:rPr>
              <w:t xml:space="preserve"> 1 punkts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 </w:t>
            </w:r>
          </w:p>
          <w:p w14:paraId="603CF466" w14:textId="77777777" w:rsidR="00E6080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  </w:t>
            </w:r>
            <w:r w:rsidR="00D660F1">
              <w:rPr>
                <w:rFonts w:ascii="Arial" w:eastAsia="Times New Roman" w:hAnsi="Arial" w:cs="Arial"/>
                <w:color w:val="000000"/>
                <w:lang w:eastAsia="lv-LV"/>
              </w:rPr>
              <w:t xml:space="preserve">neatbilst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 w:rsidR="00D660F1">
              <w:rPr>
                <w:rFonts w:ascii="Arial" w:eastAsia="Times New Roman" w:hAnsi="Arial" w:cs="Arial"/>
                <w:color w:val="000000"/>
                <w:lang w:eastAsia="lv-LV"/>
              </w:rPr>
              <w:t xml:space="preserve"> 0 punkti</w:t>
            </w:r>
          </w:p>
        </w:tc>
      </w:tr>
      <w:tr w:rsidR="00021CC0" w14:paraId="30EE7704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0158" w14:textId="77777777" w:rsidR="00E6080E" w:rsidRDefault="00000000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6A8E" w14:textId="77777777" w:rsidR="00F57BFF" w:rsidRPr="00F57BFF" w:rsidRDefault="00F57BFF">
            <w:pPr>
              <w:shd w:val="clear" w:color="auto" w:fill="FFFFFF"/>
              <w:spacing w:line="24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lang w:eastAsia="lv-LV"/>
              </w:rPr>
            </w:pPr>
          </w:p>
          <w:p w14:paraId="7B709E67" w14:textId="77777777" w:rsidR="00E6080E" w:rsidRDefault="00000000">
            <w:pPr>
              <w:shd w:val="clear" w:color="auto" w:fill="FFFFFF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Latvijas Republikas Uzņēmumu reģistrā reģistrēts komersants. (Noteikumu 1.</w:t>
            </w:r>
            <w:r w:rsidR="00DA2377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C6F0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1CD19FDC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1A1F01F9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A1DB" w14:textId="77777777" w:rsidR="00E6080E" w:rsidRDefault="00000000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1A63" w14:textId="77777777" w:rsidR="00F57BFF" w:rsidRPr="00F57BFF" w:rsidRDefault="00F57BFF">
            <w:pPr>
              <w:shd w:val="clear" w:color="auto" w:fill="FFFFFF"/>
              <w:spacing w:line="24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lang w:eastAsia="lv-LV"/>
              </w:rPr>
            </w:pPr>
          </w:p>
          <w:p w14:paraId="526F1AE9" w14:textId="77777777" w:rsidR="00E6080E" w:rsidRDefault="00000000">
            <w:pPr>
              <w:shd w:val="clear" w:color="auto" w:fill="FFFFFF"/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Komersants nav valsts vai pašvaldības iestāde vai kapitālsabiedrība, kurās publiskas personas daļa pamatkapitālā atsevišķi vai kopumā pārsniedz 50%. (Noteikumu 6.1. 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3969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386F1FAD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7BB04194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63EE" w14:textId="77777777" w:rsidR="00E6080E" w:rsidRDefault="00000000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7D54" w14:textId="77777777" w:rsidR="00E6080E" w:rsidRDefault="00000000">
            <w:pPr>
              <w:shd w:val="clear" w:color="auto" w:fill="FFFFFF"/>
              <w:spacing w:before="240"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Projekts nav saistīts ar starpnieciskiem darījumiem, nekustamā īpašuma pirkšanu vai pārdošanu.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(Noteikumu 6.2.</w:t>
            </w:r>
            <w:r w:rsidR="00DA2377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A728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53DA6061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4DD48C0D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B5FD" w14:textId="77777777" w:rsidR="00E6080E" w:rsidRDefault="00000000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820D" w14:textId="77777777" w:rsidR="00E6080E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nav saistīts ar nevalstiskajām organizācijām, kā arī kultūras un sporta pasākumu rīkošanu. (Noteikumu 6.3.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1014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  <w:p w14:paraId="3509A390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5ABEC43C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A629" w14:textId="77777777" w:rsidR="00E6080E" w:rsidRDefault="00000000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7220" w14:textId="77777777" w:rsidR="00E6080E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</w:rPr>
              <w:t xml:space="preserve">Uzņēmums, kuram ar tiesas spriedumu nav pasludināts maksātnespējas process vai ar tiesas spriedumu tiek īstenots tiesiskās aizsardzības process, vai ar tiesas lēmumu tiek īstenots </w:t>
            </w:r>
            <w:proofErr w:type="spellStart"/>
            <w:r>
              <w:rPr>
                <w:rFonts w:ascii="Arial" w:hAnsi="Arial" w:cs="Arial"/>
              </w:rPr>
              <w:t>ārpustiesas</w:t>
            </w:r>
            <w:proofErr w:type="spellEnd"/>
            <w:r>
              <w:rPr>
                <w:rFonts w:ascii="Arial" w:hAnsi="Arial" w:cs="Arial"/>
              </w:rPr>
              <w:t xml:space="preserve"> tiesiskās aizsardzības process, tam uzsākta bankrota procedūra, piemērota sanācija vai mierizlīgums vai tā saimnieciskā darbība ir izbeigta, vai tas atbilst valsts tiesību aktos noteiktajiem kritērijiem, lai tam pēc </w:t>
            </w:r>
            <w:r>
              <w:rPr>
                <w:rFonts w:ascii="Arial" w:hAnsi="Arial" w:cs="Arial"/>
              </w:rPr>
              <w:lastRenderedPageBreak/>
              <w:t>kreditoru pieprasījuma piemērotu maksātnespējas procedūru</w:t>
            </w:r>
            <w:r w:rsidR="00427F86">
              <w:rPr>
                <w:rFonts w:ascii="Arial" w:hAnsi="Arial" w:cs="Arial"/>
              </w:rPr>
              <w:t>. (Noteikumu 7.1.</w:t>
            </w:r>
            <w:r w:rsidR="000E2354">
              <w:rPr>
                <w:rFonts w:ascii="Arial" w:hAnsi="Arial" w:cs="Arial"/>
              </w:rPr>
              <w:t> </w:t>
            </w:r>
            <w:r w:rsidR="00427F86">
              <w:rPr>
                <w:rFonts w:ascii="Arial" w:hAnsi="Arial" w:cs="Arial"/>
              </w:rPr>
              <w:t>apa</w:t>
            </w:r>
            <w:r w:rsidR="00242A44">
              <w:rPr>
                <w:rFonts w:ascii="Arial" w:hAnsi="Arial" w:cs="Arial"/>
              </w:rPr>
              <w:t>k</w:t>
            </w:r>
            <w:r w:rsidR="00427F86">
              <w:rPr>
                <w:rFonts w:ascii="Arial" w:hAnsi="Arial" w:cs="Arial"/>
              </w:rPr>
              <w:t>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F996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  <w:p w14:paraId="6D4DBFAA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6255D07D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05CA" w14:textId="77777777" w:rsidR="00E6080E" w:rsidRDefault="00000000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07FA" w14:textId="77777777" w:rsidR="00E6080E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Uzņēmumam uz projekta iesniegšanas dienu nav valstij maksājamo nodokļu parādi, tai skaitā valsts sociālās apdrošināšanas obligāto iemaksu parādi, kas kopsummā pārsniedz 150 </w:t>
            </w:r>
            <w:proofErr w:type="spellStart"/>
            <w:r w:rsidRPr="00DA2377">
              <w:rPr>
                <w:rFonts w:ascii="Arial" w:eastAsia="Times New Roman" w:hAnsi="Arial" w:cs="Arial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>, izņemot gadījumus, ja ir noslēgta vienošanās par nodokļu parādu apmaksas grafiku. (Noteikumu 7.2.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C363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22C45DF9" w14:textId="77777777" w:rsidR="00E6080E" w:rsidRDefault="00000000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2A30E148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485B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8D4B" w14:textId="77777777" w:rsidR="00F57BFF" w:rsidRPr="00F57BFF" w:rsidRDefault="00F57BFF" w:rsidP="00F57BFF">
            <w:pPr>
              <w:pStyle w:val="Komentrateksts"/>
              <w:spacing w:after="0"/>
              <w:ind w:left="145" w:right="10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9965F7" w14:textId="77777777" w:rsidR="003307D4" w:rsidRPr="00AA1774" w:rsidRDefault="00000000" w:rsidP="00F57BFF">
            <w:pPr>
              <w:pStyle w:val="Komentrateksts"/>
              <w:spacing w:after="0"/>
              <w:ind w:left="145"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Uzņēmums, </w:t>
            </w:r>
            <w:r w:rsidRPr="00AA5A5F">
              <w:rPr>
                <w:rFonts w:ascii="Arial" w:hAnsi="Arial" w:cs="Arial"/>
                <w:sz w:val="22"/>
                <w:szCs w:val="22"/>
              </w:rPr>
              <w:t xml:space="preserve">kuras </w:t>
            </w:r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>valdes vai padomes loceklim, patieso labuma guvējam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>pārstāvēttiesīgajai</w:t>
            </w:r>
            <w:proofErr w:type="spellEnd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 xml:space="preserve"> personai vai prokūristam, vai personai, kura ir pilnvarota pārstāvēt MVK darbībās, kas saistītas ar filiāli, vai personālsabiedrības biedru, tā valdes vai padomes locekli, patieso labuma guvēju, </w:t>
            </w:r>
            <w:proofErr w:type="spellStart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>pārstāvēttiesīgo</w:t>
            </w:r>
            <w:proofErr w:type="spellEnd"/>
            <w:r w:rsidRPr="00AA5A5F">
              <w:rPr>
                <w:rFonts w:ascii="Arial" w:hAnsi="Arial" w:cs="Arial"/>
                <w:sz w:val="22"/>
                <w:szCs w:val="22"/>
                <w:highlight w:val="white"/>
              </w:rPr>
              <w:t xml:space="preserve"> personu vai prokūristu, ja pretendents ir personālsabiedrība, ir noteiktas starptautiskās vai nacionālās sankcijas vai būtiskas finanšu tirgus intereses ietekmējošas Eiropas Savienības vai Ziemeļatlantijas līguma organizācijas dalībvalsts sankcijas.</w:t>
            </w:r>
            <w:r>
              <w:rPr>
                <w:rFonts w:ascii="Arial" w:hAnsi="Arial" w:cs="Arial"/>
                <w:sz w:val="22"/>
                <w:szCs w:val="22"/>
              </w:rPr>
              <w:t xml:space="preserve"> (Noteikumu 7.3.</w:t>
            </w:r>
            <w:r w:rsidR="00DA23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87F9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10125418" w14:textId="77777777" w:rsidR="003307D4" w:rsidRDefault="00000000" w:rsidP="003307D4">
            <w:pPr>
              <w:spacing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1435207F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425A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3D35" w14:textId="77777777" w:rsidR="00F57BFF" w:rsidRPr="00F57BFF" w:rsidRDefault="00F57BFF" w:rsidP="00F57BFF">
            <w:pPr>
              <w:pStyle w:val="Komentrateksts"/>
              <w:spacing w:after="0"/>
              <w:ind w:left="145" w:right="10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2CF5CACF" w14:textId="77777777" w:rsidR="003307D4" w:rsidRPr="00DA2377" w:rsidRDefault="00000000" w:rsidP="00F57BFF">
            <w:pPr>
              <w:pStyle w:val="Komentrateksts"/>
              <w:spacing w:after="0"/>
              <w:ind w:left="145" w:right="10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lv-LV"/>
              </w:rPr>
              <w:t>Uzņēmumam uz pieteikuma iesniegšanas brīdi ir nokārtotas iepriekšējās līgumsaistības ar pašvaldību, kā arī nav parādsaistības attiecībā pret pašvaldību, tostarp pašvaldības administrēto nodokļu parādi. (Noteikumu 7.4.</w:t>
            </w:r>
            <w:r w:rsidR="00D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DA2377">
              <w:rPr>
                <w:rFonts w:ascii="Arial" w:eastAsia="Times New Roman" w:hAnsi="Arial" w:cs="Arial"/>
                <w:color w:val="000000"/>
                <w:sz w:val="22"/>
                <w:szCs w:val="22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35A6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748101F6" w14:textId="77777777" w:rsidR="003307D4" w:rsidRDefault="00000000" w:rsidP="003307D4">
            <w:pPr>
              <w:spacing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</w:tc>
      </w:tr>
      <w:tr w:rsidR="00021CC0" w14:paraId="26804A19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71CA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416E" w14:textId="77777777" w:rsidR="003307D4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Pret uzņēmumu nav tikuši piemēroti Krimināllikumā noteiktie piespiedu ietekmēšanas līdzekļi. (Noteikumu </w:t>
            </w:r>
            <w:r w:rsidR="00F57BFF">
              <w:rPr>
                <w:rFonts w:ascii="Arial" w:eastAsia="Times New Roman" w:hAnsi="Arial" w:cs="Arial"/>
                <w:color w:val="000000"/>
                <w:lang w:eastAsia="lv-LV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7.5.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D3C7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564169AF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5A61CF33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6DA9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B84D" w14:textId="77777777" w:rsidR="00F57BFF" w:rsidRPr="00F57BFF" w:rsidRDefault="00F57BFF" w:rsidP="00F57BFF">
            <w:pPr>
              <w:spacing w:line="240" w:lineRule="auto"/>
              <w:ind w:left="145" w:right="104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lv-LV"/>
              </w:rPr>
            </w:pPr>
          </w:p>
          <w:p w14:paraId="44791586" w14:textId="77777777" w:rsidR="003307D4" w:rsidRDefault="00000000" w:rsidP="00F57BFF">
            <w:pPr>
              <w:spacing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Projektā nav plānotas politiskas, militāras vai dažādu reliģiju sludinošas aktivitātes. (Noteikumu 7.6.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8E51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2BCFB50F" w14:textId="77777777" w:rsidR="003307D4" w:rsidRDefault="00000000" w:rsidP="003307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21B51F41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ADB1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5B29" w14:textId="77777777" w:rsidR="003307D4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Projektu plāno īstenot Liepājas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valstspilsētas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pašvaldības administratīvajā teritorijā vai Liepājas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valstspilsētas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pašvaldības īpašumos, kas atrodas ārpus pilsētas esošās teritorijas. (Noteikumu 5.1.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F11D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5251A85F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744A4933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B2D1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CA3B" w14:textId="77777777" w:rsidR="003307D4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Projektu plānots īstenot laikā līdz 202</w:t>
            </w:r>
            <w:r w:rsidR="004C2313">
              <w:rPr>
                <w:rFonts w:ascii="Arial" w:eastAsia="Times New Roman" w:hAnsi="Arial" w:cs="Arial"/>
                <w:color w:val="000000"/>
                <w:lang w:eastAsia="lv-LV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gada 30.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aprīlim. (Noteikumu 5.2.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E5CA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3C32649A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50E0A807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20E3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8BF1" w14:textId="77777777" w:rsidR="003307D4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Uzņēmuma iesniegtam projektam līdzfinansējuma intensitāte ir līdz 50% no projekta pieteikumā norādītā kopējā projekta budžeta. (Noteikumu 8.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7079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65859637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0B1A62B0" w14:textId="77777777" w:rsidTr="004C2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EB89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BC30" w14:textId="77777777" w:rsidR="003307D4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pieprasītais līdzfinansējuma apjoms nepārsniedz noteikto: minimālais līdzfinansējuma apmērs ir 2 500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, bet maksimāli pieļaujamais līdzfinansējums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10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000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>. (Noteikumu 9.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59F9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21E28BD0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7F649088" w14:textId="77777777" w:rsidTr="004C2313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AF4A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69F3" w14:textId="77777777" w:rsidR="003307D4" w:rsidRDefault="00000000" w:rsidP="00F57BFF">
            <w:pPr>
              <w:shd w:val="clear" w:color="auto" w:fill="FFFFFF"/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iesniedzējs nav pieprasījis līdzfinansējumu nolikumā noteiktajām neattiecināmajām izmaksām</w:t>
            </w:r>
            <w:r w:rsidR="00FD02C5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                            11.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4E5D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1DE543BE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347D2C4D" w14:textId="77777777" w:rsidTr="004C2313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C0AB" w14:textId="77777777" w:rsidR="003307D4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455A" w14:textId="77777777" w:rsidR="003307D4" w:rsidRDefault="00000000" w:rsidP="00F57BFF">
            <w:pPr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pievienots projekta vadītāja CV</w:t>
            </w:r>
            <w:r w:rsidR="00FD02C5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31.1.</w:t>
            </w:r>
            <w:r w:rsidR="00DA237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5061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  <w:p w14:paraId="439E8C67" w14:textId="77777777" w:rsidR="003307D4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1F39DA36" w14:textId="77777777" w:rsidTr="004C2313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5A7E" w14:textId="77777777" w:rsidR="004C2313" w:rsidRPr="004C2313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696C" w14:textId="77777777" w:rsidR="00F57BFF" w:rsidRPr="00F57BFF" w:rsidRDefault="00F57BFF" w:rsidP="00F57BFF">
            <w:pPr>
              <w:ind w:left="145" w:right="104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2525F8F4" w14:textId="77777777" w:rsidR="004C2313" w:rsidRPr="00FD02C5" w:rsidRDefault="00000000" w:rsidP="00F57BFF">
            <w:pPr>
              <w:ind w:left="145" w:right="10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pieteikumam pievienots </w:t>
            </w:r>
            <w:r>
              <w:rPr>
                <w:rFonts w:ascii="Arial" w:hAnsi="Arial" w:cs="Arial"/>
                <w:color w:val="000000"/>
              </w:rPr>
              <w:t>202</w:t>
            </w:r>
            <w:r w:rsidR="00AA1774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 gada operatīvā bilance un peļņas vai zaudējumu aprēķins</w:t>
            </w:r>
            <w:r w:rsidR="00FD02C5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(Noteikumu 31.2.</w:t>
            </w:r>
            <w:r w:rsidR="00205099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5C44" w14:textId="77777777" w:rsidR="004C2313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06FC7C51" w14:textId="77777777" w:rsidR="004C2313" w:rsidRPr="004C2313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7171CEE2" w14:textId="77777777" w:rsidTr="00F57BFF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1898" w14:textId="77777777" w:rsidR="004C2313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43ED" w14:textId="77777777" w:rsidR="004C2313" w:rsidRDefault="00000000" w:rsidP="00F57BFF">
            <w:pPr>
              <w:spacing w:before="240" w:after="0" w:line="240" w:lineRule="auto"/>
              <w:ind w:left="145" w:right="104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pieteikumam pievienota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de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eastAsia="lv-LV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veidlapa vai norādīts ID numurs. (Noteikumu 31.3. apakšpunkts)</w:t>
            </w:r>
          </w:p>
          <w:p w14:paraId="0563CA98" w14:textId="77777777" w:rsidR="004C2313" w:rsidRDefault="00000000" w:rsidP="00F57BFF">
            <w:pPr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02C5">
              <w:rPr>
                <w:rFonts w:ascii="Arial" w:eastAsia="Times New Roman" w:hAnsi="Arial" w:cs="Arial"/>
                <w:color w:val="000000"/>
                <w:lang w:eastAsia="lv-LV"/>
              </w:rPr>
              <w:t xml:space="preserve">Komersants atbilst Eiropas Komisijas 2023. gada </w:t>
            </w:r>
            <w:r w:rsidR="00F57BFF">
              <w:rPr>
                <w:rFonts w:ascii="Arial" w:eastAsia="Times New Roman" w:hAnsi="Arial" w:cs="Arial"/>
                <w:color w:val="000000"/>
                <w:lang w:eastAsia="lv-LV"/>
              </w:rPr>
              <w:t xml:space="preserve">                           </w:t>
            </w:r>
            <w:r w:rsidRPr="00FD02C5">
              <w:rPr>
                <w:rFonts w:ascii="Arial" w:eastAsia="Times New Roman" w:hAnsi="Arial" w:cs="Arial"/>
                <w:color w:val="000000"/>
                <w:lang w:eastAsia="lv-LV"/>
              </w:rPr>
              <w:t>13. decembra Regulas (ES) Nr.2023/2831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Pr="00FD02C5">
              <w:rPr>
                <w:rFonts w:ascii="Arial" w:eastAsia="Times New Roman" w:hAnsi="Arial" w:cs="Arial"/>
                <w:color w:val="000000"/>
                <w:lang w:eastAsia="lv-LV"/>
              </w:rPr>
              <w:t>nosacījumiem (atbalstāmā nozare, atbalstāmās darbības, atbalsta apmērs).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E77C" w14:textId="77777777" w:rsidR="004C2313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5A4057B6" w14:textId="77777777" w:rsidR="004C2313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  <w:tr w:rsidR="00021CC0" w14:paraId="6AB97AEF" w14:textId="77777777" w:rsidTr="004C2313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B847" w14:textId="77777777" w:rsidR="004C2313" w:rsidRDefault="00000000" w:rsidP="003307D4">
            <w:pPr>
              <w:shd w:val="clear" w:color="auto" w:fill="FFFFFF"/>
              <w:spacing w:before="240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19. 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3F27" w14:textId="77777777" w:rsidR="004C2313" w:rsidRDefault="00000000" w:rsidP="00F57BFF">
            <w:pPr>
              <w:spacing w:before="240" w:after="0" w:line="240" w:lineRule="auto"/>
              <w:ind w:left="14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pievienotas rekomendācijas vai atsauksmes par projektu</w:t>
            </w:r>
            <w:r w:rsidR="00FD02C5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31.</w:t>
            </w:r>
            <w:r w:rsidR="00B447A6">
              <w:rPr>
                <w:rFonts w:ascii="Arial" w:eastAsia="Times New Roman" w:hAnsi="Arial" w:cs="Arial"/>
                <w:color w:val="000000"/>
                <w:lang w:eastAsia="lv-LV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 apakšpunkts)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A052" w14:textId="77777777" w:rsidR="004C2313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atbilst administratīvajiem kritērijiem</w:t>
            </w:r>
          </w:p>
          <w:p w14:paraId="34A64BDF" w14:textId="77777777" w:rsidR="004C2313" w:rsidRDefault="00000000" w:rsidP="003307D4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</w:t>
            </w:r>
            <w:r w:rsidR="000E235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neatbilst administratīvajiem kritērijiem</w:t>
            </w:r>
          </w:p>
        </w:tc>
      </w:tr>
    </w:tbl>
    <w:p w14:paraId="68AE0341" w14:textId="77777777" w:rsidR="00E6080E" w:rsidRPr="007B379B" w:rsidRDefault="00E6080E" w:rsidP="007B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E6080E" w:rsidRPr="007B379B" w:rsidSect="00252BF9">
      <w:footerReference w:type="default" r:id="rId9"/>
      <w:footerReference w:type="first" r:id="rId1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8245" w14:textId="77777777" w:rsidR="00252BF9" w:rsidRDefault="00252BF9">
      <w:pPr>
        <w:spacing w:after="0" w:line="240" w:lineRule="auto"/>
      </w:pPr>
      <w:r>
        <w:separator/>
      </w:r>
    </w:p>
  </w:endnote>
  <w:endnote w:type="continuationSeparator" w:id="0">
    <w:p w14:paraId="22B9BCBE" w14:textId="77777777" w:rsidR="00252BF9" w:rsidRDefault="0025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9007" w14:textId="77777777" w:rsidR="00021CC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6AE9" w14:textId="77777777" w:rsidR="00021CC0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C4A6" w14:textId="77777777" w:rsidR="00252BF9" w:rsidRDefault="00252BF9">
      <w:pPr>
        <w:spacing w:after="0" w:line="240" w:lineRule="auto"/>
      </w:pPr>
      <w:r>
        <w:separator/>
      </w:r>
    </w:p>
  </w:footnote>
  <w:footnote w:type="continuationSeparator" w:id="0">
    <w:p w14:paraId="76596B5E" w14:textId="77777777" w:rsidR="00252BF9" w:rsidRDefault="0025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2C1"/>
    <w:multiLevelType w:val="hybridMultilevel"/>
    <w:tmpl w:val="DD7A4412"/>
    <w:lvl w:ilvl="0" w:tplc="9F32C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73280B0" w:tentative="1">
      <w:start w:val="1"/>
      <w:numFmt w:val="lowerLetter"/>
      <w:lvlText w:val="%2."/>
      <w:lvlJc w:val="left"/>
      <w:pPr>
        <w:ind w:left="1440" w:hanging="360"/>
      </w:pPr>
    </w:lvl>
    <w:lvl w:ilvl="2" w:tplc="4C386FCC" w:tentative="1">
      <w:start w:val="1"/>
      <w:numFmt w:val="lowerRoman"/>
      <w:lvlText w:val="%3."/>
      <w:lvlJc w:val="right"/>
      <w:pPr>
        <w:ind w:left="2160" w:hanging="180"/>
      </w:pPr>
    </w:lvl>
    <w:lvl w:ilvl="3" w:tplc="74FA0F34" w:tentative="1">
      <w:start w:val="1"/>
      <w:numFmt w:val="decimal"/>
      <w:lvlText w:val="%4."/>
      <w:lvlJc w:val="left"/>
      <w:pPr>
        <w:ind w:left="2880" w:hanging="360"/>
      </w:pPr>
    </w:lvl>
    <w:lvl w:ilvl="4" w:tplc="B914B140" w:tentative="1">
      <w:start w:val="1"/>
      <w:numFmt w:val="lowerLetter"/>
      <w:lvlText w:val="%5."/>
      <w:lvlJc w:val="left"/>
      <w:pPr>
        <w:ind w:left="3600" w:hanging="360"/>
      </w:pPr>
    </w:lvl>
    <w:lvl w:ilvl="5" w:tplc="73DAECE0" w:tentative="1">
      <w:start w:val="1"/>
      <w:numFmt w:val="lowerRoman"/>
      <w:lvlText w:val="%6."/>
      <w:lvlJc w:val="right"/>
      <w:pPr>
        <w:ind w:left="4320" w:hanging="180"/>
      </w:pPr>
    </w:lvl>
    <w:lvl w:ilvl="6" w:tplc="CBCCE330" w:tentative="1">
      <w:start w:val="1"/>
      <w:numFmt w:val="decimal"/>
      <w:lvlText w:val="%7."/>
      <w:lvlJc w:val="left"/>
      <w:pPr>
        <w:ind w:left="5040" w:hanging="360"/>
      </w:pPr>
    </w:lvl>
    <w:lvl w:ilvl="7" w:tplc="5BA2E4A0" w:tentative="1">
      <w:start w:val="1"/>
      <w:numFmt w:val="lowerLetter"/>
      <w:lvlText w:val="%8."/>
      <w:lvlJc w:val="left"/>
      <w:pPr>
        <w:ind w:left="5760" w:hanging="360"/>
      </w:pPr>
    </w:lvl>
    <w:lvl w:ilvl="8" w:tplc="59208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056FC"/>
    <w:multiLevelType w:val="hybridMultilevel"/>
    <w:tmpl w:val="EFE84024"/>
    <w:lvl w:ilvl="0" w:tplc="A1E65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7EC9C2" w:tentative="1">
      <w:start w:val="1"/>
      <w:numFmt w:val="lowerLetter"/>
      <w:lvlText w:val="%2."/>
      <w:lvlJc w:val="left"/>
      <w:pPr>
        <w:ind w:left="1440" w:hanging="360"/>
      </w:pPr>
    </w:lvl>
    <w:lvl w:ilvl="2" w:tplc="B7F0EEA0" w:tentative="1">
      <w:start w:val="1"/>
      <w:numFmt w:val="lowerRoman"/>
      <w:lvlText w:val="%3."/>
      <w:lvlJc w:val="right"/>
      <w:pPr>
        <w:ind w:left="2160" w:hanging="180"/>
      </w:pPr>
    </w:lvl>
    <w:lvl w:ilvl="3" w:tplc="15E07900" w:tentative="1">
      <w:start w:val="1"/>
      <w:numFmt w:val="decimal"/>
      <w:lvlText w:val="%4."/>
      <w:lvlJc w:val="left"/>
      <w:pPr>
        <w:ind w:left="2880" w:hanging="360"/>
      </w:pPr>
    </w:lvl>
    <w:lvl w:ilvl="4" w:tplc="7174CF70" w:tentative="1">
      <w:start w:val="1"/>
      <w:numFmt w:val="lowerLetter"/>
      <w:lvlText w:val="%5."/>
      <w:lvlJc w:val="left"/>
      <w:pPr>
        <w:ind w:left="3600" w:hanging="360"/>
      </w:pPr>
    </w:lvl>
    <w:lvl w:ilvl="5" w:tplc="B442E3E2" w:tentative="1">
      <w:start w:val="1"/>
      <w:numFmt w:val="lowerRoman"/>
      <w:lvlText w:val="%6."/>
      <w:lvlJc w:val="right"/>
      <w:pPr>
        <w:ind w:left="4320" w:hanging="180"/>
      </w:pPr>
    </w:lvl>
    <w:lvl w:ilvl="6" w:tplc="04188B92" w:tentative="1">
      <w:start w:val="1"/>
      <w:numFmt w:val="decimal"/>
      <w:lvlText w:val="%7."/>
      <w:lvlJc w:val="left"/>
      <w:pPr>
        <w:ind w:left="5040" w:hanging="360"/>
      </w:pPr>
    </w:lvl>
    <w:lvl w:ilvl="7" w:tplc="E6B67066" w:tentative="1">
      <w:start w:val="1"/>
      <w:numFmt w:val="lowerLetter"/>
      <w:lvlText w:val="%8."/>
      <w:lvlJc w:val="left"/>
      <w:pPr>
        <w:ind w:left="5760" w:hanging="360"/>
      </w:pPr>
    </w:lvl>
    <w:lvl w:ilvl="8" w:tplc="6F8CE3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542605">
    <w:abstractNumId w:val="1"/>
  </w:num>
  <w:num w:numId="2" w16cid:durableId="47903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0E"/>
    <w:rsid w:val="00021CC0"/>
    <w:rsid w:val="00062ACB"/>
    <w:rsid w:val="00067C31"/>
    <w:rsid w:val="000828C1"/>
    <w:rsid w:val="000E2354"/>
    <w:rsid w:val="00153EF2"/>
    <w:rsid w:val="00205099"/>
    <w:rsid w:val="00242A44"/>
    <w:rsid w:val="002464A6"/>
    <w:rsid w:val="00252BF9"/>
    <w:rsid w:val="002565F2"/>
    <w:rsid w:val="002A4E59"/>
    <w:rsid w:val="003307D4"/>
    <w:rsid w:val="003A5677"/>
    <w:rsid w:val="00427F86"/>
    <w:rsid w:val="004C2313"/>
    <w:rsid w:val="005F59EC"/>
    <w:rsid w:val="00761D2C"/>
    <w:rsid w:val="007B379B"/>
    <w:rsid w:val="00AA1774"/>
    <w:rsid w:val="00AA5A5F"/>
    <w:rsid w:val="00B447A6"/>
    <w:rsid w:val="00BC6227"/>
    <w:rsid w:val="00C43E5D"/>
    <w:rsid w:val="00C924BF"/>
    <w:rsid w:val="00D660F1"/>
    <w:rsid w:val="00D811C7"/>
    <w:rsid w:val="00DA2377"/>
    <w:rsid w:val="00E46181"/>
    <w:rsid w:val="00E555BC"/>
    <w:rsid w:val="00E6080E"/>
    <w:rsid w:val="00E95FED"/>
    <w:rsid w:val="00F35237"/>
    <w:rsid w:val="00F50539"/>
    <w:rsid w:val="00F57BFF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3C027"/>
  <w15:docId w15:val="{6FC81F25-9623-44A6-80E7-EC545DA9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before="200" w:after="200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KjeneRakstz">
    <w:name w:val="Kājene Rakstz."/>
    <w:link w:val="Kjene"/>
    <w:uiPriority w:val="99"/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saite">
    <w:name w:val="Hyperlink"/>
    <w:uiPriority w:val="99"/>
    <w:unhideWhenUsed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6445C1E-51A6-4B21-8E40-8728FE33E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Liepajas Dome2</dc:creator>
  <cp:lastModifiedBy>Sintija Biša</cp:lastModifiedBy>
  <cp:revision>2</cp:revision>
  <cp:lastPrinted>2024-03-19T08:06:00Z</cp:lastPrinted>
  <dcterms:created xsi:type="dcterms:W3CDTF">2024-03-22T13:07:00Z</dcterms:created>
  <dcterms:modified xsi:type="dcterms:W3CDTF">2024-03-22T13:07:00Z</dcterms:modified>
</cp:coreProperties>
</file>