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8C40E" w14:textId="77777777" w:rsidR="00A72164" w:rsidRPr="00CC1DCA" w:rsidRDefault="00000000" w:rsidP="00CC1DC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1. </w:t>
      </w:r>
      <w:r w:rsidRPr="00CC1DCA">
        <w:rPr>
          <w:rFonts w:ascii="Arial" w:hAnsi="Arial" w:cs="Arial"/>
          <w:color w:val="000000"/>
          <w:sz w:val="22"/>
          <w:szCs w:val="22"/>
        </w:rPr>
        <w:t>PIELIKUMS</w:t>
      </w:r>
    </w:p>
    <w:p w14:paraId="2F66322A" w14:textId="77777777" w:rsidR="00CC1DCA" w:rsidRDefault="00000000" w:rsidP="00CC1DCA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="00A72164" w:rsidRPr="006A5F2A">
        <w:rPr>
          <w:rFonts w:ascii="Arial" w:hAnsi="Arial" w:cs="Arial"/>
          <w:color w:val="000000"/>
          <w:sz w:val="22"/>
          <w:szCs w:val="22"/>
        </w:rPr>
        <w:t xml:space="preserve">Liepājas valstspilsētas pašvaldības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9F5071" w14:textId="77777777" w:rsidR="00A72164" w:rsidRPr="006A5F2A" w:rsidRDefault="00000000" w:rsidP="00CC1DCA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d</w:t>
      </w:r>
      <w:r w:rsidRPr="006A5F2A">
        <w:rPr>
          <w:rFonts w:ascii="Arial" w:hAnsi="Arial" w:cs="Arial"/>
          <w:color w:val="000000"/>
          <w:sz w:val="22"/>
          <w:szCs w:val="22"/>
        </w:rPr>
        <w:t>omes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A5F2A">
        <w:rPr>
          <w:rFonts w:ascii="Arial" w:hAnsi="Arial" w:cs="Arial"/>
          <w:color w:val="000000"/>
          <w:sz w:val="22"/>
          <w:szCs w:val="22"/>
        </w:rPr>
        <w:t>2024. gada 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A5F2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marta</w:t>
      </w:r>
    </w:p>
    <w:p w14:paraId="40DE016D" w14:textId="77777777" w:rsidR="00A72164" w:rsidRPr="006A5F2A" w:rsidRDefault="00000000" w:rsidP="00CC1DCA">
      <w:pPr>
        <w:rPr>
          <w:rFonts w:ascii="Arial" w:hAnsi="Arial" w:cs="Arial"/>
          <w:sz w:val="22"/>
          <w:szCs w:val="22"/>
        </w:rPr>
      </w:pPr>
      <w:r w:rsidRPr="006A5F2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</w:t>
      </w:r>
      <w:r w:rsidR="00CC1DCA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A5F2A">
        <w:rPr>
          <w:rFonts w:ascii="Arial" w:hAnsi="Arial" w:cs="Arial"/>
          <w:color w:val="000000"/>
          <w:sz w:val="22"/>
          <w:szCs w:val="22"/>
        </w:rPr>
        <w:t>noteikumiem Nr.</w:t>
      </w:r>
      <w:r w:rsidR="00FF3BB9">
        <w:rPr>
          <w:rFonts w:ascii="Arial" w:hAnsi="Arial" w:cs="Arial"/>
          <w:color w:val="000000"/>
          <w:sz w:val="22"/>
          <w:szCs w:val="22"/>
        </w:rPr>
        <w:t>2</w:t>
      </w:r>
    </w:p>
    <w:p w14:paraId="1FE98E89" w14:textId="77777777" w:rsidR="00A72164" w:rsidRPr="006A5F2A" w:rsidRDefault="00A72164" w:rsidP="00A72164">
      <w:pPr>
        <w:rPr>
          <w:sz w:val="22"/>
          <w:szCs w:val="22"/>
        </w:rPr>
      </w:pP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123"/>
        <w:gridCol w:w="3108"/>
      </w:tblGrid>
      <w:tr w:rsidR="00D54247" w14:paraId="582615C0" w14:textId="77777777" w:rsidTr="00055215">
        <w:trPr>
          <w:trHeight w:val="319"/>
        </w:trPr>
        <w:tc>
          <w:tcPr>
            <w:tcW w:w="8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F2BD" w14:textId="77777777" w:rsidR="00A72164" w:rsidRPr="006A5F2A" w:rsidRDefault="00000000" w:rsidP="00055215">
            <w:pPr>
              <w:shd w:val="clear" w:color="auto" w:fill="FFFFFF"/>
              <w:spacing w:before="240"/>
              <w:jc w:val="center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Administratīvie kritēriji</w:t>
            </w:r>
          </w:p>
        </w:tc>
      </w:tr>
      <w:tr w:rsidR="00D54247" w14:paraId="2764C4AD" w14:textId="77777777" w:rsidTr="00055215">
        <w:trPr>
          <w:trHeight w:val="115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D3F77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9478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>Kritērijs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</w:tblGrid>
            <w:tr w:rsidR="00D54247" w14:paraId="3831C382" w14:textId="77777777" w:rsidTr="00055215">
              <w:trPr>
                <w:trHeight w:val="455"/>
              </w:trPr>
              <w:tc>
                <w:tcPr>
                  <w:tcW w:w="0" w:type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3B048A13" w14:textId="77777777" w:rsidR="00A72164" w:rsidRPr="006A5F2A" w:rsidRDefault="00000000" w:rsidP="0005521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5F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Vērtēšanas sistēma (punkti)</w:t>
                  </w:r>
                </w:p>
              </w:tc>
            </w:tr>
          </w:tbl>
          <w:p w14:paraId="68262C70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atbilst </w:t>
            </w:r>
            <w:r w:rsidR="00A96625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punkts</w:t>
            </w:r>
          </w:p>
          <w:p w14:paraId="1B83B934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neatbilst </w:t>
            </w:r>
            <w:r w:rsidR="00A96625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 punkti</w:t>
            </w:r>
          </w:p>
        </w:tc>
      </w:tr>
      <w:tr w:rsidR="00D54247" w14:paraId="65796A90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F0F2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546C" w14:textId="77777777" w:rsidR="00B70050" w:rsidRPr="006A5F2A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Pretendents ir Latvijas Republikas Uzņēmumu reģistrā reģistrēta biedrība vai nodibinājums vai to nodaļas, kuru juridiskā adrese ir Liepājas valstspilsētā (Noteikumu 4. 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8B46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3397E6AE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2B6E3676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0FD8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C322" w14:textId="77777777" w:rsidR="00B70050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Pieteikums atbilst 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7.</w:t>
            </w:r>
            <w:r w:rsidR="00CB6CC5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punktā noteiktajiem mērķiem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DE51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46EDCA14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F2A">
              <w:rPr>
                <w:rFonts w:ascii="Arial" w:hAnsi="Arial" w:cs="Arial"/>
                <w:sz w:val="22"/>
                <w:szCs w:val="22"/>
              </w:rPr>
              <w:t>administratīvajiem kritērijiem</w:t>
            </w:r>
          </w:p>
        </w:tc>
      </w:tr>
      <w:tr w:rsidR="00D54247" w14:paraId="04664CE1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1480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3EDA" w14:textId="77777777" w:rsidR="00B70050" w:rsidRPr="006A5F2A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Projekts neparedz līdzfinansēt citu Pašvaldības finansētu projektu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9.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0E8D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4D0643DD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F2A">
              <w:rPr>
                <w:rFonts w:ascii="Arial" w:hAnsi="Arial" w:cs="Arial"/>
                <w:sz w:val="22"/>
                <w:szCs w:val="22"/>
              </w:rPr>
              <w:t>administratīvajiem kritērijiem</w:t>
            </w:r>
          </w:p>
        </w:tc>
      </w:tr>
      <w:tr w:rsidR="00D54247" w14:paraId="7DF2DE6F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42D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E448" w14:textId="77777777" w:rsidR="00B70050" w:rsidRPr="006A5F2A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Projektā pieprasītais līdzfinansējums nav mazāks par 500 </w:t>
            </w:r>
            <w:r w:rsidRPr="00B70050">
              <w:rPr>
                <w:rFonts w:ascii="Arial" w:hAnsi="Arial" w:cs="Arial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euro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un lielāks par 4000 </w:t>
            </w:r>
            <w:r w:rsidRPr="00B70050">
              <w:rPr>
                <w:rFonts w:ascii="Arial" w:hAnsi="Arial" w:cs="Arial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euro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10.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6125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0ED78AC2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0DFD00FC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3DBC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476A" w14:textId="77777777" w:rsidR="00B70050" w:rsidRPr="006A5F2A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Projekta aktivitātes tiek īstenotas Liepājas valstspilsētā vai ieguvēji no projekta rezultātiem ir Liepājas valstspilsētas iedzīvotāji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 w:rsidR="00CB6CC5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11.</w:t>
            </w:r>
            <w:r w:rsidR="00CB6CC5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punkts). Aktivitātes notiek konkursa izsludināšanas gadā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12. 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797D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2BF26AEE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6234C7EE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72D4" w14:textId="77777777" w:rsidR="00B70050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FA18" w14:textId="77777777" w:rsidR="00B70050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Projekts iesniegts Noteikumos paredzētajā kārtībā un termiņā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IV. sadaļa)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44B6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2AF3B35D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4A3935E6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EACD" w14:textId="77777777" w:rsidR="00B70050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7F2F" w14:textId="77777777" w:rsidR="00B70050" w:rsidRDefault="00000000" w:rsidP="00A6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Projekts neparedz nekustamā īpašuma iegādi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14.2.</w:t>
            </w:r>
            <w:r w:rsidR="00CB6CC5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), ārvalstu braucienus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14.3.</w:t>
            </w:r>
            <w:r w:rsidR="00CB6CC5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), pabalstu un citu līdzīgu maksājumu izmaksu privātpersonām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14.4.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 un PSO pamatdarbības nodrošināšanu un maksājumus par komunālajiem pakalpojumiem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14.5.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  <w:p w14:paraId="797DF733" w14:textId="77777777" w:rsidR="00B70050" w:rsidRDefault="00B7005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6A84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2FE0480F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4DE404BC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9937" w14:textId="77777777" w:rsidR="00B70050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9299" w14:textId="77777777" w:rsidR="00B70050" w:rsidRDefault="00000000" w:rsidP="00B7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Projekts neparedz peļņas pasākumus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14.6.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B339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11178207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lastRenderedPageBreak/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0A8B7742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70FF" w14:textId="77777777" w:rsidR="00B70050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B22B" w14:textId="77777777" w:rsidR="00B70050" w:rsidRDefault="00000000" w:rsidP="00B7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Projekts nav jau īstenots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14.7.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D2B2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6003BD8B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229A3172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D8D3" w14:textId="77777777" w:rsidR="00B70050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D2D2" w14:textId="77777777" w:rsidR="00B70050" w:rsidRDefault="00000000" w:rsidP="00A6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Projektā plānotās aktivitātes nerada dubulta valsts vai Pašvaldības finansējuma izlietojuma risku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14.8.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  <w:p w14:paraId="680096A8" w14:textId="77777777" w:rsidR="00B70050" w:rsidRDefault="00B70050" w:rsidP="00B7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9919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211E4DC5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2E2445F0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A2B5" w14:textId="77777777" w:rsidR="00B70050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A762" w14:textId="77777777" w:rsidR="00B70050" w:rsidRDefault="00000000" w:rsidP="00B7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Projektā nav plānotas politiskas vai reliģiska satura aktivitātes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14.9.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4C32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0432DBBB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454F7A4D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DA16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45ED" w14:textId="77777777" w:rsidR="00B70050" w:rsidRPr="006A5F2A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PSO uz projekta iesniegšanas dienu nav valstij maksājamo nodokļu parādi, tai skaitā valsts sociālās apdrošināšanas obligāto iemaksu parādi, kas kopsummā pārsniedz 150 </w:t>
            </w:r>
            <w:r>
              <w:rPr>
                <w:rFonts w:ascii="Arial" w:hAnsi="Arial" w:cs="Arial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euro,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izņemot gadījumus, ja ir noslēgta vienošanās par nodokļu parādu apmaksas grafiku.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14.11.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56F6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administratīvajiem kritērijiem</w:t>
            </w:r>
          </w:p>
          <w:p w14:paraId="23F9E83F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39FA2FB3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A568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3A8F" w14:textId="77777777" w:rsidR="00B70050" w:rsidRPr="006A5F2A" w:rsidRDefault="00000000" w:rsidP="00B70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PSO uz pieteikuma iesniegšanas brīdi ir nokārtotas iepriekšējās līgumsaistības ar pašvaldību, kā arī nav parādsaistības attiecībā pret pašvaldību, tostarp pašvaldības administrēto nodokļu parādi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14.12.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4721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6DC1AC41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</w:p>
        </w:tc>
      </w:tr>
      <w:tr w:rsidR="00D54247" w14:paraId="7B99AF1F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CA0E" w14:textId="77777777" w:rsidR="00B70050" w:rsidRPr="006A5F2A" w:rsidRDefault="00000000" w:rsidP="00CB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67BC" w14:textId="77777777" w:rsidR="00B70050" w:rsidRPr="006A5F2A" w:rsidRDefault="00000000" w:rsidP="00CB6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Ir paredzēts līdzfinansējums finanšu vai nefinanšu ieguldījuma veidā, t.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sk. projekts ir līdzfinansējums lielāka projekta īstenošanai, ievērojot Noteikumu 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punktā noteikto ierobežojumu. (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Noteikumu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13.2.</w:t>
            </w:r>
            <w:r w:rsidR="00A67811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 apakšpunkts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594F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5EAF0683" w14:textId="77777777" w:rsidR="00B70050" w:rsidRPr="006A5F2A" w:rsidRDefault="00000000" w:rsidP="00B7005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F2A">
              <w:rPr>
                <w:rFonts w:ascii="Arial" w:hAnsi="Arial" w:cs="Arial"/>
                <w:sz w:val="22"/>
                <w:szCs w:val="22"/>
              </w:rPr>
              <w:t>administratīvajiem kritērijiem</w:t>
            </w:r>
          </w:p>
        </w:tc>
      </w:tr>
    </w:tbl>
    <w:p w14:paraId="51E028CE" w14:textId="77777777" w:rsidR="00A72164" w:rsidRPr="006A5F2A" w:rsidRDefault="00A72164" w:rsidP="00A72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8A3A15" w14:textId="77777777" w:rsidR="00A72164" w:rsidRPr="006A5F2A" w:rsidRDefault="00A72164" w:rsidP="00A7216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4E309E7" w14:textId="77777777" w:rsidR="00D06E79" w:rsidRDefault="00D06E79"/>
    <w:sectPr w:rsidR="00D06E79" w:rsidSect="00203270">
      <w:footerReference w:type="default" r:id="rId7"/>
      <w:footerReference w:type="first" r:id="rId8"/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9B2B" w14:textId="77777777" w:rsidR="00203270" w:rsidRDefault="00203270">
      <w:r>
        <w:separator/>
      </w:r>
    </w:p>
  </w:endnote>
  <w:endnote w:type="continuationSeparator" w:id="0">
    <w:p w14:paraId="3ED00C00" w14:textId="77777777" w:rsidR="00203270" w:rsidRDefault="0020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DFF2E" w14:textId="77777777" w:rsidR="00D54247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BA90E" w14:textId="77777777" w:rsidR="00D54247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53C10" w14:textId="77777777" w:rsidR="00203270" w:rsidRDefault="00203270">
      <w:r>
        <w:separator/>
      </w:r>
    </w:p>
  </w:footnote>
  <w:footnote w:type="continuationSeparator" w:id="0">
    <w:p w14:paraId="545337AC" w14:textId="77777777" w:rsidR="00203270" w:rsidRDefault="0020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056FC"/>
    <w:multiLevelType w:val="hybridMultilevel"/>
    <w:tmpl w:val="EFE84024"/>
    <w:lvl w:ilvl="0" w:tplc="58320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A68884" w:tentative="1">
      <w:start w:val="1"/>
      <w:numFmt w:val="lowerLetter"/>
      <w:lvlText w:val="%2."/>
      <w:lvlJc w:val="left"/>
      <w:pPr>
        <w:ind w:left="1440" w:hanging="360"/>
      </w:pPr>
    </w:lvl>
    <w:lvl w:ilvl="2" w:tplc="A5DEC428" w:tentative="1">
      <w:start w:val="1"/>
      <w:numFmt w:val="lowerRoman"/>
      <w:lvlText w:val="%3."/>
      <w:lvlJc w:val="right"/>
      <w:pPr>
        <w:ind w:left="2160" w:hanging="180"/>
      </w:pPr>
    </w:lvl>
    <w:lvl w:ilvl="3" w:tplc="B112A858" w:tentative="1">
      <w:start w:val="1"/>
      <w:numFmt w:val="decimal"/>
      <w:lvlText w:val="%4."/>
      <w:lvlJc w:val="left"/>
      <w:pPr>
        <w:ind w:left="2880" w:hanging="360"/>
      </w:pPr>
    </w:lvl>
    <w:lvl w:ilvl="4" w:tplc="E91C7930" w:tentative="1">
      <w:start w:val="1"/>
      <w:numFmt w:val="lowerLetter"/>
      <w:lvlText w:val="%5."/>
      <w:lvlJc w:val="left"/>
      <w:pPr>
        <w:ind w:left="3600" w:hanging="360"/>
      </w:pPr>
    </w:lvl>
    <w:lvl w:ilvl="5" w:tplc="BB4623AC" w:tentative="1">
      <w:start w:val="1"/>
      <w:numFmt w:val="lowerRoman"/>
      <w:lvlText w:val="%6."/>
      <w:lvlJc w:val="right"/>
      <w:pPr>
        <w:ind w:left="4320" w:hanging="180"/>
      </w:pPr>
    </w:lvl>
    <w:lvl w:ilvl="6" w:tplc="F012991A" w:tentative="1">
      <w:start w:val="1"/>
      <w:numFmt w:val="decimal"/>
      <w:lvlText w:val="%7."/>
      <w:lvlJc w:val="left"/>
      <w:pPr>
        <w:ind w:left="5040" w:hanging="360"/>
      </w:pPr>
    </w:lvl>
    <w:lvl w:ilvl="7" w:tplc="159A1EB8" w:tentative="1">
      <w:start w:val="1"/>
      <w:numFmt w:val="lowerLetter"/>
      <w:lvlText w:val="%8."/>
      <w:lvlJc w:val="left"/>
      <w:pPr>
        <w:ind w:left="5760" w:hanging="360"/>
      </w:pPr>
    </w:lvl>
    <w:lvl w:ilvl="8" w:tplc="E4B8004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85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64"/>
    <w:rsid w:val="00055215"/>
    <w:rsid w:val="00203270"/>
    <w:rsid w:val="002054E6"/>
    <w:rsid w:val="00215EFD"/>
    <w:rsid w:val="00302B35"/>
    <w:rsid w:val="003C578F"/>
    <w:rsid w:val="00400659"/>
    <w:rsid w:val="004411E4"/>
    <w:rsid w:val="005D1927"/>
    <w:rsid w:val="00691556"/>
    <w:rsid w:val="006A5F2A"/>
    <w:rsid w:val="006F3066"/>
    <w:rsid w:val="007F2F66"/>
    <w:rsid w:val="00A67811"/>
    <w:rsid w:val="00A72164"/>
    <w:rsid w:val="00A96625"/>
    <w:rsid w:val="00B70050"/>
    <w:rsid w:val="00CB6CC5"/>
    <w:rsid w:val="00CC1DCA"/>
    <w:rsid w:val="00D06E79"/>
    <w:rsid w:val="00D54247"/>
    <w:rsid w:val="00D97BDD"/>
    <w:rsid w:val="00F5051A"/>
    <w:rsid w:val="00F7061E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74BE4"/>
  <w15:chartTrackingRefBased/>
  <w15:docId w15:val="{E15D1630-7B5B-45FD-93C2-CE6536F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21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2541</Words>
  <Characters>1449</Characters>
  <Application>Microsoft Office Word</Application>
  <DocSecurity>0</DocSecurity>
  <Lines>12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Sintija Biša</cp:lastModifiedBy>
  <cp:revision>2</cp:revision>
  <dcterms:created xsi:type="dcterms:W3CDTF">2024-03-27T13:33:00Z</dcterms:created>
  <dcterms:modified xsi:type="dcterms:W3CDTF">2024-03-27T13:33:00Z</dcterms:modified>
</cp:coreProperties>
</file>