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10A00" w14:textId="77777777" w:rsidR="00E6080E" w:rsidRPr="00CE04F4" w:rsidRDefault="00000000" w:rsidP="00CE04F4">
      <w:pPr>
        <w:spacing w:after="0" w:line="240" w:lineRule="auto"/>
        <w:ind w:left="360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color w:val="000000"/>
          <w:lang w:eastAsia="lv-LV"/>
        </w:rPr>
        <w:t xml:space="preserve">                                                                                           1. </w:t>
      </w:r>
      <w:r w:rsidRPr="00CE04F4">
        <w:rPr>
          <w:rFonts w:ascii="Arial" w:eastAsia="Times New Roman" w:hAnsi="Arial" w:cs="Arial"/>
          <w:color w:val="000000"/>
          <w:lang w:eastAsia="lv-LV"/>
        </w:rPr>
        <w:t>PIELIKUMS</w:t>
      </w:r>
    </w:p>
    <w:p w14:paraId="3D599B02" w14:textId="77777777" w:rsidR="00CE04F4" w:rsidRDefault="00000000" w:rsidP="00CE04F4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eastAsia="lv-LV"/>
        </w:rPr>
      </w:pPr>
      <w:r>
        <w:rPr>
          <w:rFonts w:ascii="Arial" w:eastAsia="Times New Roman" w:hAnsi="Arial" w:cs="Arial"/>
          <w:color w:val="000000"/>
          <w:lang w:eastAsia="lv-LV"/>
        </w:rPr>
        <w:t xml:space="preserve">                                                                       </w:t>
      </w:r>
      <w:r w:rsidR="006D7022">
        <w:rPr>
          <w:rFonts w:ascii="Arial" w:eastAsia="Times New Roman" w:hAnsi="Arial" w:cs="Arial"/>
          <w:color w:val="000000"/>
          <w:lang w:eastAsia="lv-LV"/>
        </w:rPr>
        <w:t xml:space="preserve"> </w:t>
      </w:r>
      <w:r>
        <w:rPr>
          <w:rFonts w:ascii="Arial" w:eastAsia="Times New Roman" w:hAnsi="Arial" w:cs="Arial"/>
          <w:color w:val="000000"/>
          <w:lang w:eastAsia="lv-LV"/>
        </w:rPr>
        <w:t xml:space="preserve">  </w:t>
      </w:r>
      <w:r w:rsidR="00D660F1">
        <w:rPr>
          <w:rFonts w:ascii="Arial" w:eastAsia="Times New Roman" w:hAnsi="Arial" w:cs="Arial"/>
          <w:color w:val="000000"/>
          <w:lang w:eastAsia="lv-LV"/>
        </w:rPr>
        <w:t xml:space="preserve">Liepājas </w:t>
      </w:r>
      <w:proofErr w:type="spellStart"/>
      <w:r w:rsidR="00D660F1">
        <w:rPr>
          <w:rFonts w:ascii="Arial" w:eastAsia="Times New Roman" w:hAnsi="Arial" w:cs="Arial"/>
          <w:color w:val="000000"/>
          <w:lang w:eastAsia="lv-LV"/>
        </w:rPr>
        <w:t>valstspilsētas</w:t>
      </w:r>
      <w:proofErr w:type="spellEnd"/>
      <w:r w:rsidR="00D660F1">
        <w:rPr>
          <w:rFonts w:ascii="Arial" w:eastAsia="Times New Roman" w:hAnsi="Arial" w:cs="Arial"/>
          <w:color w:val="000000"/>
          <w:lang w:eastAsia="lv-LV"/>
        </w:rPr>
        <w:t xml:space="preserve"> pašvaldības </w:t>
      </w:r>
    </w:p>
    <w:p w14:paraId="319C82FB" w14:textId="77777777" w:rsidR="00E6080E" w:rsidRPr="00923E9B" w:rsidRDefault="00000000" w:rsidP="00CE04F4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eastAsia="lv-LV"/>
        </w:rPr>
      </w:pPr>
      <w:r>
        <w:rPr>
          <w:rFonts w:ascii="Arial" w:eastAsia="Times New Roman" w:hAnsi="Arial" w:cs="Arial"/>
          <w:color w:val="000000"/>
          <w:lang w:eastAsia="lv-LV"/>
        </w:rPr>
        <w:t xml:space="preserve">                                                                        </w:t>
      </w:r>
      <w:r w:rsidR="006D7022">
        <w:rPr>
          <w:rFonts w:ascii="Arial" w:eastAsia="Times New Roman" w:hAnsi="Arial" w:cs="Arial"/>
          <w:color w:val="000000"/>
          <w:lang w:eastAsia="lv-LV"/>
        </w:rPr>
        <w:t xml:space="preserve"> </w:t>
      </w:r>
      <w:r>
        <w:rPr>
          <w:rFonts w:ascii="Arial" w:eastAsia="Times New Roman" w:hAnsi="Arial" w:cs="Arial"/>
          <w:color w:val="000000"/>
          <w:lang w:eastAsia="lv-LV"/>
        </w:rPr>
        <w:t xml:space="preserve"> d</w:t>
      </w:r>
      <w:r w:rsidR="00D660F1">
        <w:rPr>
          <w:rFonts w:ascii="Arial" w:eastAsia="Times New Roman" w:hAnsi="Arial" w:cs="Arial"/>
          <w:color w:val="000000"/>
          <w:lang w:eastAsia="lv-LV"/>
        </w:rPr>
        <w:t>omes</w:t>
      </w:r>
      <w:r>
        <w:rPr>
          <w:rFonts w:ascii="Arial" w:eastAsia="Times New Roman" w:hAnsi="Arial" w:cs="Arial"/>
          <w:color w:val="000000"/>
          <w:lang w:eastAsia="lv-LV"/>
        </w:rPr>
        <w:t xml:space="preserve"> </w:t>
      </w:r>
      <w:r w:rsidR="00D660F1" w:rsidRPr="00923E9B">
        <w:rPr>
          <w:rFonts w:ascii="Arial" w:eastAsia="Times New Roman" w:hAnsi="Arial" w:cs="Arial"/>
          <w:color w:val="000000"/>
          <w:lang w:eastAsia="lv-LV"/>
        </w:rPr>
        <w:t>202</w:t>
      </w:r>
      <w:r w:rsidR="00BC7B72">
        <w:rPr>
          <w:rFonts w:ascii="Arial" w:eastAsia="Times New Roman" w:hAnsi="Arial" w:cs="Arial"/>
          <w:color w:val="000000"/>
          <w:lang w:eastAsia="lv-LV"/>
        </w:rPr>
        <w:t>4</w:t>
      </w:r>
      <w:r w:rsidR="00D660F1" w:rsidRPr="00923E9B">
        <w:rPr>
          <w:rFonts w:ascii="Arial" w:eastAsia="Times New Roman" w:hAnsi="Arial" w:cs="Arial"/>
          <w:color w:val="000000"/>
          <w:lang w:eastAsia="lv-LV"/>
        </w:rPr>
        <w:t>.</w:t>
      </w:r>
      <w:r w:rsidR="00DA2377" w:rsidRPr="00923E9B">
        <w:rPr>
          <w:rFonts w:ascii="Arial" w:eastAsia="Times New Roman" w:hAnsi="Arial" w:cs="Arial"/>
          <w:color w:val="000000"/>
          <w:lang w:eastAsia="lv-LV"/>
        </w:rPr>
        <w:t xml:space="preserve"> </w:t>
      </w:r>
      <w:r w:rsidR="00D660F1" w:rsidRPr="00923E9B">
        <w:rPr>
          <w:rFonts w:ascii="Arial" w:eastAsia="Times New Roman" w:hAnsi="Arial" w:cs="Arial"/>
          <w:color w:val="000000"/>
          <w:lang w:eastAsia="lv-LV"/>
        </w:rPr>
        <w:t>gada 2</w:t>
      </w:r>
      <w:r w:rsidR="00BC7B72">
        <w:rPr>
          <w:rFonts w:ascii="Arial" w:eastAsia="Times New Roman" w:hAnsi="Arial" w:cs="Arial"/>
          <w:color w:val="000000"/>
          <w:lang w:eastAsia="lv-LV"/>
        </w:rPr>
        <w:t>2</w:t>
      </w:r>
      <w:r w:rsidR="00D660F1" w:rsidRPr="00923E9B">
        <w:rPr>
          <w:rFonts w:ascii="Arial" w:eastAsia="Times New Roman" w:hAnsi="Arial" w:cs="Arial"/>
          <w:color w:val="000000"/>
          <w:lang w:eastAsia="lv-LV"/>
        </w:rPr>
        <w:t>.</w:t>
      </w:r>
      <w:r w:rsidR="00DA2377" w:rsidRPr="00923E9B">
        <w:rPr>
          <w:rFonts w:ascii="Arial" w:eastAsia="Times New Roman" w:hAnsi="Arial" w:cs="Arial"/>
          <w:color w:val="000000"/>
          <w:lang w:eastAsia="lv-LV"/>
        </w:rPr>
        <w:t xml:space="preserve"> </w:t>
      </w:r>
      <w:r w:rsidR="00BC7B72">
        <w:rPr>
          <w:rFonts w:ascii="Arial" w:eastAsia="Times New Roman" w:hAnsi="Arial" w:cs="Arial"/>
          <w:color w:val="000000"/>
          <w:lang w:eastAsia="lv-LV"/>
        </w:rPr>
        <w:t>februāra</w:t>
      </w:r>
    </w:p>
    <w:p w14:paraId="5C599632" w14:textId="77777777" w:rsidR="00E6080E" w:rsidRDefault="00000000" w:rsidP="00CE04F4">
      <w:pPr>
        <w:spacing w:after="0" w:line="240" w:lineRule="auto"/>
        <w:rPr>
          <w:rFonts w:ascii="Arial" w:eastAsia="Times New Roman" w:hAnsi="Arial" w:cs="Arial"/>
          <w:lang w:eastAsia="lv-LV"/>
        </w:rPr>
      </w:pPr>
      <w:r w:rsidRPr="00923E9B">
        <w:rPr>
          <w:rFonts w:ascii="Arial" w:eastAsia="Times New Roman" w:hAnsi="Arial" w:cs="Arial"/>
          <w:color w:val="000000"/>
          <w:lang w:eastAsia="lv-LV"/>
        </w:rPr>
        <w:t xml:space="preserve">                                                                                </w:t>
      </w:r>
      <w:r w:rsidR="00CE04F4">
        <w:rPr>
          <w:rFonts w:ascii="Arial" w:eastAsia="Times New Roman" w:hAnsi="Arial" w:cs="Arial"/>
          <w:color w:val="000000"/>
          <w:lang w:eastAsia="lv-LV"/>
        </w:rPr>
        <w:t xml:space="preserve">                 </w:t>
      </w:r>
      <w:r w:rsidR="006D7022">
        <w:rPr>
          <w:rFonts w:ascii="Arial" w:eastAsia="Times New Roman" w:hAnsi="Arial" w:cs="Arial"/>
          <w:color w:val="000000"/>
          <w:lang w:eastAsia="lv-LV"/>
        </w:rPr>
        <w:t xml:space="preserve"> </w:t>
      </w:r>
      <w:r w:rsidRPr="00923E9B">
        <w:rPr>
          <w:rFonts w:ascii="Arial" w:eastAsia="Times New Roman" w:hAnsi="Arial" w:cs="Arial"/>
          <w:color w:val="000000"/>
          <w:lang w:eastAsia="lv-LV"/>
        </w:rPr>
        <w:t>noteikumiem Nr.</w:t>
      </w:r>
      <w:r w:rsidR="00CE04F4">
        <w:rPr>
          <w:rFonts w:ascii="Arial" w:eastAsia="Times New Roman" w:hAnsi="Arial" w:cs="Arial"/>
          <w:color w:val="000000"/>
          <w:lang w:eastAsia="lv-LV"/>
        </w:rPr>
        <w:t>1</w:t>
      </w:r>
    </w:p>
    <w:p w14:paraId="73E3F326" w14:textId="77777777" w:rsidR="00E6080E" w:rsidRDefault="00E6080E" w:rsidP="00CE0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6197"/>
        <w:gridCol w:w="2790"/>
      </w:tblGrid>
      <w:tr w:rsidR="00127A17" w14:paraId="49743834" w14:textId="77777777" w:rsidTr="007107ED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3E3BB" w14:textId="77777777" w:rsidR="00E6080E" w:rsidRDefault="00000000">
            <w:pPr>
              <w:shd w:val="clear" w:color="auto" w:fill="FFFFFF"/>
              <w:spacing w:before="240"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Administratīvie kritēriji</w:t>
            </w:r>
          </w:p>
        </w:tc>
      </w:tr>
      <w:tr w:rsidR="00127A17" w14:paraId="3F46CD06" w14:textId="77777777" w:rsidTr="007107ED">
        <w:trPr>
          <w:trHeight w:val="15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CF05F" w14:textId="77777777" w:rsidR="00E6080E" w:rsidRPr="007107ED" w:rsidRDefault="00000000" w:rsidP="00710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7107ED">
              <w:rPr>
                <w:rFonts w:ascii="Arial" w:hAnsi="Arial" w:cs="Arial"/>
                <w:b/>
                <w:bCs/>
              </w:rPr>
              <w:t>N</w:t>
            </w:r>
            <w:r w:rsidR="007107ED" w:rsidRPr="007107ED">
              <w:rPr>
                <w:rFonts w:ascii="Arial" w:hAnsi="Arial" w:cs="Arial"/>
                <w:b/>
                <w:bCs/>
              </w:rPr>
              <w:t>r</w:t>
            </w:r>
            <w:r w:rsidRPr="007107ED">
              <w:rPr>
                <w:rFonts w:ascii="Arial" w:hAnsi="Arial" w:cs="Arial"/>
                <w:b/>
                <w:bCs/>
              </w:rPr>
              <w:t>. p.k.</w:t>
            </w: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E18F2" w14:textId="77777777" w:rsidR="00E6080E" w:rsidRPr="007107ED" w:rsidRDefault="00000000" w:rsidP="00710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7107ED">
              <w:rPr>
                <w:rFonts w:ascii="Arial" w:hAnsi="Arial" w:cs="Arial"/>
                <w:b/>
                <w:bCs/>
              </w:rPr>
              <w:t>Kritērijs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0"/>
            </w:tblGrid>
            <w:tr w:rsidR="00127A17" w14:paraId="22A191CC" w14:textId="77777777">
              <w:trPr>
                <w:trHeight w:val="455"/>
              </w:trPr>
              <w:tc>
                <w:tcPr>
                  <w:tcW w:w="0" w:type="auto"/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14:paraId="34CFCABD" w14:textId="77777777" w:rsidR="00E6080E" w:rsidRPr="007107ED" w:rsidRDefault="00000000" w:rsidP="00CE04F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107ED">
                    <w:rPr>
                      <w:rFonts w:ascii="Arial" w:hAnsi="Arial" w:cs="Arial"/>
                      <w:b/>
                      <w:bCs/>
                    </w:rPr>
                    <w:t>Vērtēšanas sistēma (punkti)</w:t>
                  </w:r>
                </w:p>
              </w:tc>
            </w:tr>
          </w:tbl>
          <w:p w14:paraId="2B63107C" w14:textId="77777777" w:rsidR="00BC7B72" w:rsidRPr="007107ED" w:rsidRDefault="00000000" w:rsidP="00CE04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107ED">
              <w:rPr>
                <w:rFonts w:ascii="Arial" w:hAnsi="Arial" w:cs="Arial"/>
                <w:b/>
                <w:bCs/>
              </w:rPr>
              <w:t xml:space="preserve">atbilst </w:t>
            </w:r>
            <w:r w:rsidR="00CE04F4" w:rsidRPr="00CE04F4">
              <w:rPr>
                <w:rFonts w:ascii="Arial" w:hAnsi="Arial" w:cs="Arial"/>
                <w:b/>
                <w:bCs/>
              </w:rPr>
              <w:t>–</w:t>
            </w:r>
            <w:r w:rsidRPr="007107ED">
              <w:rPr>
                <w:rFonts w:ascii="Arial" w:hAnsi="Arial" w:cs="Arial"/>
                <w:b/>
                <w:bCs/>
              </w:rPr>
              <w:t xml:space="preserve"> 1 punkts</w:t>
            </w:r>
          </w:p>
          <w:p w14:paraId="127C2291" w14:textId="77777777" w:rsidR="00E6080E" w:rsidRPr="007107ED" w:rsidRDefault="00000000" w:rsidP="00CE04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107ED">
              <w:rPr>
                <w:rFonts w:ascii="Arial" w:hAnsi="Arial" w:cs="Arial"/>
                <w:b/>
                <w:bCs/>
              </w:rPr>
              <w:t xml:space="preserve">neatbilst </w:t>
            </w:r>
            <w:r w:rsidR="00CE04F4" w:rsidRPr="00CE04F4">
              <w:rPr>
                <w:rFonts w:ascii="Arial" w:hAnsi="Arial" w:cs="Arial"/>
                <w:b/>
                <w:bCs/>
              </w:rPr>
              <w:t>–</w:t>
            </w:r>
            <w:r w:rsidRPr="007107ED">
              <w:rPr>
                <w:rFonts w:ascii="Arial" w:hAnsi="Arial" w:cs="Arial"/>
                <w:b/>
                <w:bCs/>
              </w:rPr>
              <w:t xml:space="preserve"> 0 punkti</w:t>
            </w:r>
          </w:p>
        </w:tc>
      </w:tr>
      <w:tr w:rsidR="00127A17" w14:paraId="4058E208" w14:textId="77777777" w:rsidTr="00710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42970" w14:textId="77777777" w:rsidR="00E6080E" w:rsidRPr="007107ED" w:rsidRDefault="00000000" w:rsidP="00CE04F4">
            <w:pPr>
              <w:jc w:val="center"/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>1.</w:t>
            </w: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66163" w14:textId="77777777" w:rsidR="00E6080E" w:rsidRPr="007107ED" w:rsidRDefault="00000000" w:rsidP="007107ED">
            <w:pPr>
              <w:jc w:val="both"/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>Latvijas Republikas Uzņēmumu reģistrā reģistrēts komersants. (Noteikumu 1.</w:t>
            </w:r>
            <w:r w:rsidR="00DA2377" w:rsidRPr="007107ED">
              <w:rPr>
                <w:rFonts w:ascii="Arial" w:hAnsi="Arial" w:cs="Arial"/>
              </w:rPr>
              <w:t xml:space="preserve"> </w:t>
            </w:r>
            <w:r w:rsidRPr="007107ED">
              <w:rPr>
                <w:rFonts w:ascii="Arial" w:hAnsi="Arial" w:cs="Arial"/>
              </w:rPr>
              <w:t>punkts)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2F98C" w14:textId="77777777" w:rsidR="00E6080E" w:rsidRPr="007107ED" w:rsidRDefault="00000000" w:rsidP="007107ED">
            <w:pPr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 xml:space="preserve">jā </w:t>
            </w:r>
            <w:r w:rsidR="00CE04F4" w:rsidRPr="007107ED">
              <w:rPr>
                <w:rFonts w:ascii="Arial" w:hAnsi="Arial" w:cs="Arial"/>
              </w:rPr>
              <w:t>–</w:t>
            </w:r>
            <w:r w:rsidRPr="007107ED">
              <w:rPr>
                <w:rFonts w:ascii="Arial" w:hAnsi="Arial" w:cs="Arial"/>
              </w:rPr>
              <w:t xml:space="preserve"> atbilst administratīvajiem kritērijiem</w:t>
            </w:r>
          </w:p>
          <w:p w14:paraId="32DC1686" w14:textId="77777777" w:rsidR="00E6080E" w:rsidRPr="007107ED" w:rsidRDefault="00000000" w:rsidP="007107ED">
            <w:pPr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 xml:space="preserve">nē </w:t>
            </w:r>
            <w:r w:rsidR="00CE04F4" w:rsidRPr="007107ED">
              <w:rPr>
                <w:rFonts w:ascii="Arial" w:hAnsi="Arial" w:cs="Arial"/>
              </w:rPr>
              <w:t>–</w:t>
            </w:r>
            <w:r w:rsidRPr="007107ED">
              <w:rPr>
                <w:rFonts w:ascii="Arial" w:hAnsi="Arial" w:cs="Arial"/>
              </w:rPr>
              <w:t xml:space="preserve"> neatbilst administratīvajiem kritērijiem</w:t>
            </w:r>
          </w:p>
        </w:tc>
      </w:tr>
      <w:tr w:rsidR="00127A17" w14:paraId="64A4FC45" w14:textId="77777777" w:rsidTr="00710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41999" w14:textId="77777777" w:rsidR="00E6080E" w:rsidRPr="007107ED" w:rsidRDefault="00000000" w:rsidP="00CE04F4">
            <w:pPr>
              <w:jc w:val="center"/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>2.</w:t>
            </w: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6C5B8" w14:textId="77777777" w:rsidR="00E6080E" w:rsidRPr="007107ED" w:rsidRDefault="00000000" w:rsidP="007107ED">
            <w:pPr>
              <w:jc w:val="both"/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>Komersants nav valsts vai pašvaldības iestāde vai kapitālsabiedrība, kurās publiskas personas daļa pamatkapitālā atsevišķi vai kopumā pārsniedz 50%. (Noteikumu 6.1. apakšpunkts)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BF418" w14:textId="77777777" w:rsidR="00E6080E" w:rsidRPr="007107ED" w:rsidRDefault="00000000" w:rsidP="007107ED">
            <w:pPr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 xml:space="preserve">jā </w:t>
            </w:r>
            <w:r w:rsidR="00CE04F4" w:rsidRPr="007107ED">
              <w:rPr>
                <w:rFonts w:ascii="Arial" w:hAnsi="Arial" w:cs="Arial"/>
              </w:rPr>
              <w:t>–</w:t>
            </w:r>
            <w:r w:rsidRPr="007107ED">
              <w:rPr>
                <w:rFonts w:ascii="Arial" w:hAnsi="Arial" w:cs="Arial"/>
              </w:rPr>
              <w:t xml:space="preserve"> atbilst administratīvajiem kritērijiem</w:t>
            </w:r>
          </w:p>
          <w:p w14:paraId="1E6004CD" w14:textId="77777777" w:rsidR="00E6080E" w:rsidRPr="007107ED" w:rsidRDefault="00000000" w:rsidP="007107ED">
            <w:pPr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 xml:space="preserve">nē </w:t>
            </w:r>
            <w:r w:rsidR="00CE04F4" w:rsidRPr="007107ED">
              <w:rPr>
                <w:rFonts w:ascii="Arial" w:hAnsi="Arial" w:cs="Arial"/>
              </w:rPr>
              <w:t>–</w:t>
            </w:r>
            <w:r w:rsidR="00CE04F4">
              <w:rPr>
                <w:rFonts w:ascii="Arial" w:hAnsi="Arial" w:cs="Arial"/>
              </w:rPr>
              <w:t xml:space="preserve"> </w:t>
            </w:r>
            <w:r w:rsidRPr="007107ED">
              <w:rPr>
                <w:rFonts w:ascii="Arial" w:hAnsi="Arial" w:cs="Arial"/>
              </w:rPr>
              <w:t>neatbilst administratīvajiem kritērijiem</w:t>
            </w:r>
          </w:p>
        </w:tc>
      </w:tr>
      <w:tr w:rsidR="00127A17" w14:paraId="6F9E87AD" w14:textId="77777777" w:rsidTr="00710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ECE11" w14:textId="77777777" w:rsidR="00E6080E" w:rsidRPr="007107ED" w:rsidRDefault="00000000" w:rsidP="00CE04F4">
            <w:pPr>
              <w:jc w:val="center"/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>3.</w:t>
            </w: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2457" w14:textId="77777777" w:rsidR="00E6080E" w:rsidRPr="007107ED" w:rsidRDefault="00000000" w:rsidP="007107ED">
            <w:pPr>
              <w:jc w:val="both"/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>Projekts nav saistīts ar starpnieciskiem darījumiem, nekustamā īpašuma pirkšanu vai pārdošanu. (Noteikumu 6.2.</w:t>
            </w:r>
            <w:r w:rsidR="00DA2377" w:rsidRPr="007107ED">
              <w:rPr>
                <w:rFonts w:ascii="Arial" w:hAnsi="Arial" w:cs="Arial"/>
              </w:rPr>
              <w:t> </w:t>
            </w:r>
            <w:r w:rsidRPr="007107ED">
              <w:rPr>
                <w:rFonts w:ascii="Arial" w:hAnsi="Arial" w:cs="Arial"/>
              </w:rPr>
              <w:t>apakšpunkts)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DFFD" w14:textId="77777777" w:rsidR="00E6080E" w:rsidRPr="007107ED" w:rsidRDefault="00000000" w:rsidP="007107ED">
            <w:pPr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 xml:space="preserve">jā </w:t>
            </w:r>
            <w:r w:rsidR="00611C4C" w:rsidRPr="007107ED">
              <w:rPr>
                <w:rFonts w:ascii="Arial" w:hAnsi="Arial" w:cs="Arial"/>
              </w:rPr>
              <w:t>–</w:t>
            </w:r>
            <w:r w:rsidRPr="007107ED">
              <w:rPr>
                <w:rFonts w:ascii="Arial" w:hAnsi="Arial" w:cs="Arial"/>
              </w:rPr>
              <w:t xml:space="preserve"> atbilst administratīvajiem kritērijiem</w:t>
            </w:r>
          </w:p>
          <w:p w14:paraId="2A67EA91" w14:textId="77777777" w:rsidR="00E6080E" w:rsidRPr="007107ED" w:rsidRDefault="00000000" w:rsidP="007107ED">
            <w:pPr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 xml:space="preserve">nē </w:t>
            </w:r>
            <w:r w:rsidR="00611C4C" w:rsidRPr="007107ED">
              <w:rPr>
                <w:rFonts w:ascii="Arial" w:hAnsi="Arial" w:cs="Arial"/>
              </w:rPr>
              <w:t>–</w:t>
            </w:r>
            <w:r w:rsidRPr="007107ED">
              <w:rPr>
                <w:rFonts w:ascii="Arial" w:hAnsi="Arial" w:cs="Arial"/>
              </w:rPr>
              <w:t xml:space="preserve"> neatbilst administratīvajiem kritērijiem</w:t>
            </w:r>
          </w:p>
        </w:tc>
      </w:tr>
      <w:tr w:rsidR="00127A17" w14:paraId="7C567DBB" w14:textId="77777777" w:rsidTr="00710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7F13C" w14:textId="77777777" w:rsidR="00E6080E" w:rsidRPr="007107ED" w:rsidRDefault="00000000" w:rsidP="00CE04F4">
            <w:pPr>
              <w:jc w:val="center"/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>4.</w:t>
            </w: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482A" w14:textId="77777777" w:rsidR="00E6080E" w:rsidRPr="007107ED" w:rsidRDefault="00000000" w:rsidP="007107ED">
            <w:pPr>
              <w:jc w:val="both"/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>Projekts nav saistīts ar nevalstiskajām organizācijām, kā arī kultūras un sporta pasākumu rīkošanu. (Noteikumu</w:t>
            </w:r>
            <w:r w:rsidR="000A1841">
              <w:rPr>
                <w:rFonts w:ascii="Arial" w:hAnsi="Arial" w:cs="Arial"/>
              </w:rPr>
              <w:t xml:space="preserve">                       </w:t>
            </w:r>
            <w:r w:rsidRPr="007107ED">
              <w:rPr>
                <w:rFonts w:ascii="Arial" w:hAnsi="Arial" w:cs="Arial"/>
              </w:rPr>
              <w:t xml:space="preserve"> 6.3.</w:t>
            </w:r>
            <w:r w:rsidR="00DA2377" w:rsidRPr="007107ED">
              <w:rPr>
                <w:rFonts w:ascii="Arial" w:hAnsi="Arial" w:cs="Arial"/>
              </w:rPr>
              <w:t xml:space="preserve"> </w:t>
            </w:r>
            <w:r w:rsidRPr="007107ED">
              <w:rPr>
                <w:rFonts w:ascii="Arial" w:hAnsi="Arial" w:cs="Arial"/>
              </w:rPr>
              <w:t>apakšpunkts)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34408" w14:textId="77777777" w:rsidR="00E6080E" w:rsidRPr="007107ED" w:rsidRDefault="00000000" w:rsidP="007107ED">
            <w:pPr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 xml:space="preserve">jā </w:t>
            </w:r>
            <w:r w:rsidR="00611C4C" w:rsidRPr="007107ED">
              <w:rPr>
                <w:rFonts w:ascii="Arial" w:hAnsi="Arial" w:cs="Arial"/>
              </w:rPr>
              <w:t>–</w:t>
            </w:r>
            <w:r w:rsidRPr="007107ED">
              <w:rPr>
                <w:rFonts w:ascii="Arial" w:hAnsi="Arial" w:cs="Arial"/>
              </w:rPr>
              <w:t xml:space="preserve"> atbilst administratīvajiem kritērijiem</w:t>
            </w:r>
          </w:p>
          <w:p w14:paraId="6175B967" w14:textId="77777777" w:rsidR="00E6080E" w:rsidRPr="007107ED" w:rsidRDefault="00000000" w:rsidP="007107ED">
            <w:pPr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 xml:space="preserve">nē </w:t>
            </w:r>
            <w:r w:rsidR="00611C4C" w:rsidRPr="007107ED">
              <w:rPr>
                <w:rFonts w:ascii="Arial" w:hAnsi="Arial" w:cs="Arial"/>
              </w:rPr>
              <w:t>–</w:t>
            </w:r>
            <w:r w:rsidRPr="007107ED">
              <w:rPr>
                <w:rFonts w:ascii="Arial" w:hAnsi="Arial" w:cs="Arial"/>
              </w:rPr>
              <w:t xml:space="preserve"> neatbilst administratīvajiem kritērijiem</w:t>
            </w:r>
          </w:p>
        </w:tc>
      </w:tr>
      <w:tr w:rsidR="00127A17" w14:paraId="1983CBF7" w14:textId="77777777" w:rsidTr="00710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5C8E" w14:textId="77777777" w:rsidR="00E6080E" w:rsidRPr="007107ED" w:rsidRDefault="00000000" w:rsidP="00CE04F4">
            <w:pPr>
              <w:jc w:val="center"/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>5.</w:t>
            </w: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58389" w14:textId="77777777" w:rsidR="00E6080E" w:rsidRPr="007107ED" w:rsidRDefault="00000000" w:rsidP="007107ED">
            <w:pPr>
              <w:jc w:val="both"/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 xml:space="preserve">Uzņēmums, kuram ar tiesas spriedumu nav pasludināts maksātnespējas process vai ar tiesas spriedumu tiek īstenots tiesiskās aizsardzības process, vai ar tiesas lēmumu tiek īstenots </w:t>
            </w:r>
            <w:proofErr w:type="spellStart"/>
            <w:r w:rsidRPr="007107ED">
              <w:rPr>
                <w:rFonts w:ascii="Arial" w:hAnsi="Arial" w:cs="Arial"/>
              </w:rPr>
              <w:t>ārpustiesas</w:t>
            </w:r>
            <w:proofErr w:type="spellEnd"/>
            <w:r w:rsidRPr="007107ED">
              <w:rPr>
                <w:rFonts w:ascii="Arial" w:hAnsi="Arial" w:cs="Arial"/>
              </w:rPr>
              <w:t xml:space="preserve"> tiesiskās aizsardzības process, tam uzsākta bankrota procedūra, piemērota sanācija vai mierizlīgums vai tā saimnieciskā darbība ir izbeigta, vai tas </w:t>
            </w:r>
            <w:r w:rsidRPr="007107ED">
              <w:rPr>
                <w:rFonts w:ascii="Arial" w:hAnsi="Arial" w:cs="Arial"/>
              </w:rPr>
              <w:lastRenderedPageBreak/>
              <w:t>atbilst valsts tiesību aktos noteiktajiem kritērijiem, lai tam pēc kreditoru pieprasījuma piemērotu maksātnespējas procedūru</w:t>
            </w:r>
            <w:r w:rsidR="00427F86" w:rsidRPr="007107ED">
              <w:rPr>
                <w:rFonts w:ascii="Arial" w:hAnsi="Arial" w:cs="Arial"/>
              </w:rPr>
              <w:t>. (Noteikumu 7.1.</w:t>
            </w:r>
            <w:r w:rsidR="00DA2377" w:rsidRPr="007107ED">
              <w:rPr>
                <w:rFonts w:ascii="Arial" w:hAnsi="Arial" w:cs="Arial"/>
              </w:rPr>
              <w:t xml:space="preserve"> </w:t>
            </w:r>
            <w:r w:rsidR="00427F86" w:rsidRPr="007107ED">
              <w:rPr>
                <w:rFonts w:ascii="Arial" w:hAnsi="Arial" w:cs="Arial"/>
              </w:rPr>
              <w:t>apa</w:t>
            </w:r>
            <w:r w:rsidR="00242A44" w:rsidRPr="007107ED">
              <w:rPr>
                <w:rFonts w:ascii="Arial" w:hAnsi="Arial" w:cs="Arial"/>
              </w:rPr>
              <w:t>k</w:t>
            </w:r>
            <w:r w:rsidR="00427F86" w:rsidRPr="007107ED">
              <w:rPr>
                <w:rFonts w:ascii="Arial" w:hAnsi="Arial" w:cs="Arial"/>
              </w:rPr>
              <w:t>špunkts)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3F157" w14:textId="77777777" w:rsidR="00E6080E" w:rsidRPr="007107ED" w:rsidRDefault="00000000" w:rsidP="007107ED">
            <w:pPr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lastRenderedPageBreak/>
              <w:t xml:space="preserve">jā </w:t>
            </w:r>
            <w:r w:rsidR="00611C4C" w:rsidRPr="007107ED">
              <w:rPr>
                <w:rFonts w:ascii="Arial" w:hAnsi="Arial" w:cs="Arial"/>
              </w:rPr>
              <w:t>–</w:t>
            </w:r>
            <w:r w:rsidRPr="007107ED">
              <w:rPr>
                <w:rFonts w:ascii="Arial" w:hAnsi="Arial" w:cs="Arial"/>
              </w:rPr>
              <w:t xml:space="preserve"> atbilst administratīvajiem kritērijiem</w:t>
            </w:r>
          </w:p>
          <w:p w14:paraId="48DE76E3" w14:textId="77777777" w:rsidR="00E6080E" w:rsidRPr="007107ED" w:rsidRDefault="00000000" w:rsidP="007107ED">
            <w:pPr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lastRenderedPageBreak/>
              <w:t xml:space="preserve">nē </w:t>
            </w:r>
            <w:r w:rsidR="00A0434E" w:rsidRPr="007107ED">
              <w:rPr>
                <w:rFonts w:ascii="Arial" w:hAnsi="Arial" w:cs="Arial"/>
              </w:rPr>
              <w:t>–</w:t>
            </w:r>
            <w:r w:rsidRPr="007107ED">
              <w:rPr>
                <w:rFonts w:ascii="Arial" w:hAnsi="Arial" w:cs="Arial"/>
              </w:rPr>
              <w:t xml:space="preserve"> neatbilst administratīvajiem kritērijiem</w:t>
            </w:r>
          </w:p>
        </w:tc>
      </w:tr>
      <w:tr w:rsidR="00127A17" w14:paraId="7DA80471" w14:textId="77777777" w:rsidTr="00710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492FA" w14:textId="77777777" w:rsidR="00E6080E" w:rsidRPr="007107ED" w:rsidRDefault="00000000" w:rsidP="00CE04F4">
            <w:pPr>
              <w:jc w:val="center"/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76F44" w14:textId="77777777" w:rsidR="00E6080E" w:rsidRPr="007107ED" w:rsidRDefault="00000000" w:rsidP="007107ED">
            <w:pPr>
              <w:jc w:val="both"/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 xml:space="preserve">Uzņēmumam uz projekta iesniegšanas dienu nav valstij maksājamo nodokļu parādi, tai skaitā valsts sociālās apdrošināšanas obligāto iemaksu parādi, kas kopsummā pārsniedz 150 </w:t>
            </w:r>
            <w:proofErr w:type="spellStart"/>
            <w:r w:rsidRPr="000A1841">
              <w:rPr>
                <w:rFonts w:ascii="Arial" w:hAnsi="Arial" w:cs="Arial"/>
                <w:i/>
                <w:iCs/>
              </w:rPr>
              <w:t>euro</w:t>
            </w:r>
            <w:proofErr w:type="spellEnd"/>
            <w:r w:rsidRPr="000A1841">
              <w:rPr>
                <w:rFonts w:ascii="Arial" w:hAnsi="Arial" w:cs="Arial"/>
                <w:i/>
                <w:iCs/>
              </w:rPr>
              <w:t>,</w:t>
            </w:r>
            <w:r w:rsidRPr="007107ED">
              <w:rPr>
                <w:rFonts w:ascii="Arial" w:hAnsi="Arial" w:cs="Arial"/>
              </w:rPr>
              <w:t xml:space="preserve"> izņemot gadījumus, ja ir noslēgta vienošanās par nodokļu parādu apmaksas grafiku. (Noteikumu 7.2.</w:t>
            </w:r>
            <w:r w:rsidR="00DA2377" w:rsidRPr="007107ED">
              <w:rPr>
                <w:rFonts w:ascii="Arial" w:hAnsi="Arial" w:cs="Arial"/>
              </w:rPr>
              <w:t xml:space="preserve"> </w:t>
            </w:r>
            <w:r w:rsidRPr="007107ED">
              <w:rPr>
                <w:rFonts w:ascii="Arial" w:hAnsi="Arial" w:cs="Arial"/>
              </w:rPr>
              <w:t>apakšpunkts)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453A7" w14:textId="77777777" w:rsidR="00E6080E" w:rsidRPr="007107ED" w:rsidRDefault="00000000" w:rsidP="007107ED">
            <w:pPr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 xml:space="preserve">jā </w:t>
            </w:r>
            <w:r w:rsidR="00A0434E" w:rsidRPr="007107ED">
              <w:rPr>
                <w:rFonts w:ascii="Arial" w:hAnsi="Arial" w:cs="Arial"/>
              </w:rPr>
              <w:t>–</w:t>
            </w:r>
            <w:r w:rsidRPr="007107ED">
              <w:rPr>
                <w:rFonts w:ascii="Arial" w:hAnsi="Arial" w:cs="Arial"/>
              </w:rPr>
              <w:t xml:space="preserve"> atbilst administratīvajiem kritērijiem</w:t>
            </w:r>
          </w:p>
          <w:p w14:paraId="5FBA003D" w14:textId="77777777" w:rsidR="00E6080E" w:rsidRPr="007107ED" w:rsidRDefault="00000000" w:rsidP="007107ED">
            <w:pPr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 xml:space="preserve">nē </w:t>
            </w:r>
            <w:r w:rsidR="00A0434E" w:rsidRPr="007107ED">
              <w:rPr>
                <w:rFonts w:ascii="Arial" w:hAnsi="Arial" w:cs="Arial"/>
              </w:rPr>
              <w:t>–</w:t>
            </w:r>
            <w:r w:rsidRPr="007107ED">
              <w:rPr>
                <w:rFonts w:ascii="Arial" w:hAnsi="Arial" w:cs="Arial"/>
              </w:rPr>
              <w:t xml:space="preserve"> neatbilst administratīvajiem kritērijiem</w:t>
            </w:r>
          </w:p>
        </w:tc>
      </w:tr>
      <w:tr w:rsidR="00127A17" w14:paraId="06C4950A" w14:textId="77777777" w:rsidTr="00710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F4C8D" w14:textId="77777777" w:rsidR="003307D4" w:rsidRPr="007107ED" w:rsidRDefault="00000000" w:rsidP="00CE04F4">
            <w:pPr>
              <w:jc w:val="center"/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>7.</w:t>
            </w: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88D79" w14:textId="77777777" w:rsidR="003307D4" w:rsidRPr="007107ED" w:rsidRDefault="00000000" w:rsidP="007107ED">
            <w:pPr>
              <w:jc w:val="both"/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 xml:space="preserve">Uzņēmums, kuras valdes vai padomes loceklim, patieso labuma guvējam, </w:t>
            </w:r>
            <w:proofErr w:type="spellStart"/>
            <w:r w:rsidRPr="007107ED">
              <w:rPr>
                <w:rFonts w:ascii="Arial" w:hAnsi="Arial" w:cs="Arial"/>
              </w:rPr>
              <w:t>pārstāvēttiesīgajai</w:t>
            </w:r>
            <w:proofErr w:type="spellEnd"/>
            <w:r w:rsidRPr="007107ED">
              <w:rPr>
                <w:rFonts w:ascii="Arial" w:hAnsi="Arial" w:cs="Arial"/>
              </w:rPr>
              <w:t xml:space="preserve"> personai vai prokūristam, vai personai, kura ir pilnvarota pārstāvēt MVK darbībās, kas saistītas ar filiāli, vai personālsabiedrības biedru, tā valdes vai padomes locekli, patieso labuma guvēju, </w:t>
            </w:r>
            <w:proofErr w:type="spellStart"/>
            <w:r w:rsidRPr="007107ED">
              <w:rPr>
                <w:rFonts w:ascii="Arial" w:hAnsi="Arial" w:cs="Arial"/>
              </w:rPr>
              <w:t>pārstāvēttiesīgo</w:t>
            </w:r>
            <w:proofErr w:type="spellEnd"/>
            <w:r w:rsidRPr="007107ED">
              <w:rPr>
                <w:rFonts w:ascii="Arial" w:hAnsi="Arial" w:cs="Arial"/>
              </w:rPr>
              <w:t xml:space="preserve"> personu vai prokūristu, ja pretendents ir personālsabiedrība, ir noteiktas starptautiskās vai nacionālās sankcijas vai būtiskas finanšu tirgus intereses ietekmējošas Eiropas Savienības vai Ziemeļatlantijas līguma organizācijas dalībvalsts sankcijas. (Noteikumu 7.3.</w:t>
            </w:r>
            <w:r w:rsidR="00DA2377" w:rsidRPr="007107ED">
              <w:rPr>
                <w:rFonts w:ascii="Arial" w:hAnsi="Arial" w:cs="Arial"/>
              </w:rPr>
              <w:t xml:space="preserve"> </w:t>
            </w:r>
            <w:r w:rsidRPr="007107ED">
              <w:rPr>
                <w:rFonts w:ascii="Arial" w:hAnsi="Arial" w:cs="Arial"/>
              </w:rPr>
              <w:t>apakšpunkts)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82309" w14:textId="77777777" w:rsidR="003307D4" w:rsidRPr="007107ED" w:rsidRDefault="00000000" w:rsidP="007107ED">
            <w:pPr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 xml:space="preserve">jā </w:t>
            </w:r>
            <w:r w:rsidR="00A0434E" w:rsidRPr="007107ED">
              <w:rPr>
                <w:rFonts w:ascii="Arial" w:hAnsi="Arial" w:cs="Arial"/>
              </w:rPr>
              <w:t>–</w:t>
            </w:r>
            <w:r w:rsidRPr="007107ED">
              <w:rPr>
                <w:rFonts w:ascii="Arial" w:hAnsi="Arial" w:cs="Arial"/>
              </w:rPr>
              <w:t xml:space="preserve"> atbilst administratīvajiem kritērijiem</w:t>
            </w:r>
          </w:p>
          <w:p w14:paraId="47B5066E" w14:textId="77777777" w:rsidR="003307D4" w:rsidRPr="007107ED" w:rsidRDefault="00000000" w:rsidP="007107ED">
            <w:pPr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 xml:space="preserve">nē </w:t>
            </w:r>
            <w:r w:rsidR="00A0434E" w:rsidRPr="007107ED">
              <w:rPr>
                <w:rFonts w:ascii="Arial" w:hAnsi="Arial" w:cs="Arial"/>
              </w:rPr>
              <w:t>–</w:t>
            </w:r>
            <w:r w:rsidRPr="007107ED">
              <w:rPr>
                <w:rFonts w:ascii="Arial" w:hAnsi="Arial" w:cs="Arial"/>
              </w:rPr>
              <w:t xml:space="preserve"> neatbilst administratīvajiem kritērijiem</w:t>
            </w:r>
          </w:p>
        </w:tc>
      </w:tr>
      <w:tr w:rsidR="00127A17" w14:paraId="204AA246" w14:textId="77777777" w:rsidTr="00710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64366" w14:textId="77777777" w:rsidR="003307D4" w:rsidRPr="007107ED" w:rsidRDefault="00000000" w:rsidP="00CE04F4">
            <w:pPr>
              <w:jc w:val="center"/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>8.</w:t>
            </w: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484AF" w14:textId="77777777" w:rsidR="003307D4" w:rsidRPr="007107ED" w:rsidRDefault="00000000" w:rsidP="007107ED">
            <w:pPr>
              <w:jc w:val="both"/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>Uzņēmumam uz pieteikuma iesniegšanas brīdi ir nokārtotas iepriekšējās līgumsaistības ar pašvaldību, kā arī nav parādsaistības attiecībā pret pašvaldību, tostarp pašvaldības administrēto nodokļu parādi. (Noteikumu 7.4.</w:t>
            </w:r>
            <w:r w:rsidR="00DA2377" w:rsidRPr="007107ED">
              <w:rPr>
                <w:rFonts w:ascii="Arial" w:hAnsi="Arial" w:cs="Arial"/>
              </w:rPr>
              <w:t xml:space="preserve"> </w:t>
            </w:r>
            <w:r w:rsidRPr="007107ED">
              <w:rPr>
                <w:rFonts w:ascii="Arial" w:hAnsi="Arial" w:cs="Arial"/>
              </w:rPr>
              <w:t>apakšpunkts)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3053E" w14:textId="77777777" w:rsidR="003307D4" w:rsidRPr="007107ED" w:rsidRDefault="00000000" w:rsidP="007107ED">
            <w:pPr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 xml:space="preserve">jā </w:t>
            </w:r>
            <w:r w:rsidR="00A0434E" w:rsidRPr="007107ED">
              <w:rPr>
                <w:rFonts w:ascii="Arial" w:hAnsi="Arial" w:cs="Arial"/>
              </w:rPr>
              <w:t>–</w:t>
            </w:r>
            <w:r w:rsidRPr="007107ED">
              <w:rPr>
                <w:rFonts w:ascii="Arial" w:hAnsi="Arial" w:cs="Arial"/>
              </w:rPr>
              <w:t xml:space="preserve"> atbilst administratīvajiem kritērijiem</w:t>
            </w:r>
          </w:p>
          <w:p w14:paraId="446CE2EE" w14:textId="77777777" w:rsidR="003307D4" w:rsidRPr="007107ED" w:rsidRDefault="00000000" w:rsidP="007107ED">
            <w:pPr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 xml:space="preserve">nē </w:t>
            </w:r>
            <w:r w:rsidR="00A0434E" w:rsidRPr="007107ED">
              <w:rPr>
                <w:rFonts w:ascii="Arial" w:hAnsi="Arial" w:cs="Arial"/>
              </w:rPr>
              <w:t>–</w:t>
            </w:r>
            <w:r w:rsidRPr="007107ED">
              <w:rPr>
                <w:rFonts w:ascii="Arial" w:hAnsi="Arial" w:cs="Arial"/>
              </w:rPr>
              <w:t xml:space="preserve"> neatbilst administratīvajiem kritērijiem</w:t>
            </w:r>
          </w:p>
        </w:tc>
      </w:tr>
      <w:tr w:rsidR="00127A17" w14:paraId="3132E855" w14:textId="77777777" w:rsidTr="00710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01ACA" w14:textId="77777777" w:rsidR="003307D4" w:rsidRPr="007107ED" w:rsidRDefault="00000000" w:rsidP="00CE04F4">
            <w:pPr>
              <w:jc w:val="center"/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>9.</w:t>
            </w: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09C89" w14:textId="77777777" w:rsidR="003307D4" w:rsidRPr="007107ED" w:rsidRDefault="00000000" w:rsidP="007107ED">
            <w:pPr>
              <w:jc w:val="both"/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>Pret uzņēmumu nav tikuši piemēroti Krimināllikumā noteiktie piespiedu ietekmēšanas līdzekļi. (Noteikumu</w:t>
            </w:r>
            <w:r w:rsidR="000A1841">
              <w:rPr>
                <w:rFonts w:ascii="Arial" w:hAnsi="Arial" w:cs="Arial"/>
              </w:rPr>
              <w:t xml:space="preserve">                                     </w:t>
            </w:r>
            <w:r w:rsidRPr="007107ED">
              <w:rPr>
                <w:rFonts w:ascii="Arial" w:hAnsi="Arial" w:cs="Arial"/>
              </w:rPr>
              <w:t xml:space="preserve"> 7.5.</w:t>
            </w:r>
            <w:r w:rsidR="00DA2377" w:rsidRPr="007107ED">
              <w:rPr>
                <w:rFonts w:ascii="Arial" w:hAnsi="Arial" w:cs="Arial"/>
              </w:rPr>
              <w:t xml:space="preserve"> </w:t>
            </w:r>
            <w:r w:rsidRPr="007107ED">
              <w:rPr>
                <w:rFonts w:ascii="Arial" w:hAnsi="Arial" w:cs="Arial"/>
              </w:rPr>
              <w:t>apakšpunkts)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215DB" w14:textId="77777777" w:rsidR="003307D4" w:rsidRPr="007107ED" w:rsidRDefault="00000000" w:rsidP="007107ED">
            <w:pPr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 xml:space="preserve">jā </w:t>
            </w:r>
            <w:r w:rsidR="00A0434E" w:rsidRPr="007107ED">
              <w:rPr>
                <w:rFonts w:ascii="Arial" w:hAnsi="Arial" w:cs="Arial"/>
              </w:rPr>
              <w:t>–</w:t>
            </w:r>
            <w:r w:rsidRPr="007107ED">
              <w:rPr>
                <w:rFonts w:ascii="Arial" w:hAnsi="Arial" w:cs="Arial"/>
              </w:rPr>
              <w:t xml:space="preserve"> atbilst administratīvajiem kritērijiem</w:t>
            </w:r>
          </w:p>
          <w:p w14:paraId="0A5D1D1F" w14:textId="77777777" w:rsidR="003307D4" w:rsidRPr="007107ED" w:rsidRDefault="00000000" w:rsidP="007107ED">
            <w:pPr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 xml:space="preserve">nē </w:t>
            </w:r>
            <w:r w:rsidR="00A0434E" w:rsidRPr="007107ED">
              <w:rPr>
                <w:rFonts w:ascii="Arial" w:hAnsi="Arial" w:cs="Arial"/>
              </w:rPr>
              <w:t>–</w:t>
            </w:r>
            <w:r w:rsidRPr="007107ED">
              <w:rPr>
                <w:rFonts w:ascii="Arial" w:hAnsi="Arial" w:cs="Arial"/>
              </w:rPr>
              <w:t xml:space="preserve"> neatbilst administratīvajiem kritērijiem</w:t>
            </w:r>
          </w:p>
        </w:tc>
      </w:tr>
      <w:tr w:rsidR="00127A17" w14:paraId="15DABCBF" w14:textId="77777777" w:rsidTr="00710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7D5F4" w14:textId="77777777" w:rsidR="003307D4" w:rsidRPr="007107ED" w:rsidRDefault="00000000" w:rsidP="00CE04F4">
            <w:pPr>
              <w:jc w:val="center"/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>10</w:t>
            </w:r>
            <w:r w:rsidR="003C107B" w:rsidRPr="007107ED">
              <w:rPr>
                <w:rFonts w:ascii="Arial" w:hAnsi="Arial" w:cs="Arial"/>
              </w:rPr>
              <w:t>.</w:t>
            </w: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7B9A6" w14:textId="77777777" w:rsidR="003307D4" w:rsidRPr="007107ED" w:rsidRDefault="00000000" w:rsidP="00CE04F4">
            <w:pPr>
              <w:jc w:val="both"/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>Projektā nav plānotas politiskas, militāras vai dažādu reliģiju sludinošas aktivitātes. (Noteikumu 7.6.</w:t>
            </w:r>
            <w:r w:rsidR="00DA2377" w:rsidRPr="007107ED">
              <w:rPr>
                <w:rFonts w:ascii="Arial" w:hAnsi="Arial" w:cs="Arial"/>
              </w:rPr>
              <w:t xml:space="preserve"> </w:t>
            </w:r>
            <w:r w:rsidRPr="007107ED">
              <w:rPr>
                <w:rFonts w:ascii="Arial" w:hAnsi="Arial" w:cs="Arial"/>
              </w:rPr>
              <w:t>apakšpunkts)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9DE23" w14:textId="77777777" w:rsidR="003307D4" w:rsidRPr="007107ED" w:rsidRDefault="00000000" w:rsidP="007107ED">
            <w:pPr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 xml:space="preserve">jā </w:t>
            </w:r>
            <w:r w:rsidR="00A0434E" w:rsidRPr="007107ED">
              <w:rPr>
                <w:rFonts w:ascii="Arial" w:hAnsi="Arial" w:cs="Arial"/>
              </w:rPr>
              <w:t>–</w:t>
            </w:r>
            <w:r w:rsidRPr="007107ED">
              <w:rPr>
                <w:rFonts w:ascii="Arial" w:hAnsi="Arial" w:cs="Arial"/>
              </w:rPr>
              <w:t xml:space="preserve"> atbilst administratīvajiem kritērijiem</w:t>
            </w:r>
          </w:p>
          <w:p w14:paraId="591BAD78" w14:textId="77777777" w:rsidR="003307D4" w:rsidRPr="007107ED" w:rsidRDefault="00000000" w:rsidP="007107ED">
            <w:pPr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 xml:space="preserve">nē </w:t>
            </w:r>
            <w:r w:rsidR="00A0434E" w:rsidRPr="007107ED">
              <w:rPr>
                <w:rFonts w:ascii="Arial" w:hAnsi="Arial" w:cs="Arial"/>
              </w:rPr>
              <w:t>–</w:t>
            </w:r>
            <w:r w:rsidRPr="007107ED">
              <w:rPr>
                <w:rFonts w:ascii="Arial" w:hAnsi="Arial" w:cs="Arial"/>
              </w:rPr>
              <w:t xml:space="preserve"> neatbilst administratīvajiem kritērijiem</w:t>
            </w:r>
          </w:p>
        </w:tc>
      </w:tr>
      <w:tr w:rsidR="00127A17" w14:paraId="73A6E0E5" w14:textId="77777777" w:rsidTr="00710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7B14D" w14:textId="77777777" w:rsidR="003307D4" w:rsidRPr="007107ED" w:rsidRDefault="00000000" w:rsidP="00CE04F4">
            <w:pPr>
              <w:jc w:val="center"/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>11.</w:t>
            </w: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7626" w14:textId="77777777" w:rsidR="003307D4" w:rsidRPr="007107ED" w:rsidRDefault="00000000" w:rsidP="00CE04F4">
            <w:pPr>
              <w:jc w:val="both"/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 xml:space="preserve">Projektu plāno īstenot Liepājas </w:t>
            </w:r>
            <w:proofErr w:type="spellStart"/>
            <w:r w:rsidRPr="007107ED">
              <w:rPr>
                <w:rFonts w:ascii="Arial" w:hAnsi="Arial" w:cs="Arial"/>
              </w:rPr>
              <w:t>valstspilsētas</w:t>
            </w:r>
            <w:proofErr w:type="spellEnd"/>
            <w:r w:rsidRPr="007107ED">
              <w:rPr>
                <w:rFonts w:ascii="Arial" w:hAnsi="Arial" w:cs="Arial"/>
              </w:rPr>
              <w:t xml:space="preserve"> pašvaldības administratīvajā teritorijā vai Liepājas </w:t>
            </w:r>
            <w:proofErr w:type="spellStart"/>
            <w:r w:rsidRPr="007107ED">
              <w:rPr>
                <w:rFonts w:ascii="Arial" w:hAnsi="Arial" w:cs="Arial"/>
              </w:rPr>
              <w:t>valstspilsētas</w:t>
            </w:r>
            <w:proofErr w:type="spellEnd"/>
            <w:r w:rsidRPr="007107ED">
              <w:rPr>
                <w:rFonts w:ascii="Arial" w:hAnsi="Arial" w:cs="Arial"/>
              </w:rPr>
              <w:t xml:space="preserve"> </w:t>
            </w:r>
            <w:r w:rsidRPr="007107ED">
              <w:rPr>
                <w:rFonts w:ascii="Arial" w:hAnsi="Arial" w:cs="Arial"/>
              </w:rPr>
              <w:lastRenderedPageBreak/>
              <w:t>pašvaldības īpašumos, kas atrodas ārpus pilsētas esošās teritorijas. (Noteikumu 5.1.</w:t>
            </w:r>
            <w:r w:rsidR="00DA2377" w:rsidRPr="007107ED">
              <w:rPr>
                <w:rFonts w:ascii="Arial" w:hAnsi="Arial" w:cs="Arial"/>
              </w:rPr>
              <w:t xml:space="preserve"> </w:t>
            </w:r>
            <w:r w:rsidRPr="007107ED">
              <w:rPr>
                <w:rFonts w:ascii="Arial" w:hAnsi="Arial" w:cs="Arial"/>
              </w:rPr>
              <w:t>apakšpunkts)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63280" w14:textId="77777777" w:rsidR="003307D4" w:rsidRPr="007107ED" w:rsidRDefault="00000000" w:rsidP="007107ED">
            <w:pPr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lastRenderedPageBreak/>
              <w:t xml:space="preserve">jā </w:t>
            </w:r>
            <w:r w:rsidR="00A0434E" w:rsidRPr="007107ED">
              <w:rPr>
                <w:rFonts w:ascii="Arial" w:hAnsi="Arial" w:cs="Arial"/>
              </w:rPr>
              <w:t>–</w:t>
            </w:r>
            <w:r w:rsidRPr="007107ED">
              <w:rPr>
                <w:rFonts w:ascii="Arial" w:hAnsi="Arial" w:cs="Arial"/>
              </w:rPr>
              <w:t xml:space="preserve"> atbilst administratīvajiem kritērijiem</w:t>
            </w:r>
          </w:p>
          <w:p w14:paraId="536C0FCC" w14:textId="77777777" w:rsidR="003307D4" w:rsidRPr="007107ED" w:rsidRDefault="00000000" w:rsidP="007107ED">
            <w:pPr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lastRenderedPageBreak/>
              <w:t xml:space="preserve">nē </w:t>
            </w:r>
            <w:r w:rsidR="00A0434E" w:rsidRPr="007107ED">
              <w:rPr>
                <w:rFonts w:ascii="Arial" w:hAnsi="Arial" w:cs="Arial"/>
              </w:rPr>
              <w:t>–</w:t>
            </w:r>
            <w:r w:rsidRPr="007107ED">
              <w:rPr>
                <w:rFonts w:ascii="Arial" w:hAnsi="Arial" w:cs="Arial"/>
              </w:rPr>
              <w:t xml:space="preserve"> neatbilst administratīvajiem kritērijiem</w:t>
            </w:r>
          </w:p>
        </w:tc>
      </w:tr>
      <w:tr w:rsidR="00127A17" w14:paraId="111F9B9D" w14:textId="77777777" w:rsidTr="00710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E9E96" w14:textId="77777777" w:rsidR="00BC7B72" w:rsidRPr="007107ED" w:rsidRDefault="00000000" w:rsidP="00CE04F4">
            <w:pPr>
              <w:jc w:val="center"/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lastRenderedPageBreak/>
              <w:t>12.</w:t>
            </w: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6C1D4" w14:textId="77777777" w:rsidR="00BC7B72" w:rsidRPr="007107ED" w:rsidRDefault="00000000" w:rsidP="00CE04F4">
            <w:pPr>
              <w:jc w:val="both"/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>Uzņēmuma iesniegtam projektam līdzfinansējuma intensitāte ir līdz 50% no projekta pieteikumā norādītā kopējā projekta budžeta. (Noteikumu 8. punkts)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6939E" w14:textId="77777777" w:rsidR="00BC7B72" w:rsidRPr="007107ED" w:rsidRDefault="00000000" w:rsidP="007107ED">
            <w:pPr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 xml:space="preserve">jā </w:t>
            </w:r>
            <w:r w:rsidR="00A0434E" w:rsidRPr="007107ED">
              <w:rPr>
                <w:rFonts w:ascii="Arial" w:hAnsi="Arial" w:cs="Arial"/>
              </w:rPr>
              <w:t>–</w:t>
            </w:r>
            <w:r w:rsidRPr="007107ED">
              <w:rPr>
                <w:rFonts w:ascii="Arial" w:hAnsi="Arial" w:cs="Arial"/>
              </w:rPr>
              <w:t xml:space="preserve"> atbilst administratīvajiem kritērijiem</w:t>
            </w:r>
          </w:p>
          <w:p w14:paraId="7B79F7AD" w14:textId="77777777" w:rsidR="00BC7B72" w:rsidRPr="007107ED" w:rsidRDefault="00000000" w:rsidP="007107ED">
            <w:pPr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 xml:space="preserve">nē </w:t>
            </w:r>
            <w:r w:rsidR="00A0434E" w:rsidRPr="007107ED">
              <w:rPr>
                <w:rFonts w:ascii="Arial" w:hAnsi="Arial" w:cs="Arial"/>
              </w:rPr>
              <w:t>–</w:t>
            </w:r>
            <w:r w:rsidRPr="007107ED">
              <w:rPr>
                <w:rFonts w:ascii="Arial" w:hAnsi="Arial" w:cs="Arial"/>
              </w:rPr>
              <w:t xml:space="preserve"> neatbilst administratīvajiem kritērijiem</w:t>
            </w:r>
          </w:p>
        </w:tc>
      </w:tr>
      <w:tr w:rsidR="00127A17" w14:paraId="113B89F1" w14:textId="77777777" w:rsidTr="00710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1A1F1" w14:textId="77777777" w:rsidR="00706F8A" w:rsidRPr="007107ED" w:rsidRDefault="00000000" w:rsidP="00CE04F4">
            <w:pPr>
              <w:jc w:val="center"/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>13.</w:t>
            </w: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E4E1A" w14:textId="77777777" w:rsidR="00706F8A" w:rsidRPr="007107ED" w:rsidRDefault="00000000" w:rsidP="00CE04F4">
            <w:pPr>
              <w:jc w:val="both"/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 xml:space="preserve">Projekta pieteikumam pievienots Apliecinājums, ka </w:t>
            </w:r>
            <w:proofErr w:type="spellStart"/>
            <w:r w:rsidRPr="007107ED">
              <w:rPr>
                <w:rFonts w:ascii="Arial" w:hAnsi="Arial" w:cs="Arial"/>
              </w:rPr>
              <w:t>remigrants</w:t>
            </w:r>
            <w:proofErr w:type="spellEnd"/>
            <w:r w:rsidRPr="007107ED">
              <w:rPr>
                <w:rFonts w:ascii="Arial" w:hAnsi="Arial" w:cs="Arial"/>
              </w:rPr>
              <w:t xml:space="preserve"> ir atgriezies vai pārcēlies no pastāvīgas dzīves ārzemēs uz pastāvīgu dzīvi Latvijā (Kurzemes plānošanas reģionā – projekta īstenošanas vietā). Pastāvīgai dzīvei ārzemēs jābūt vismaz diviem gadiem. Atgriešanās vai pārcelšanās brīdim ir jābūt ne vairāk kā divus gadus pirms darbavietas izveidošanas vai uzņēmuma izveidošanas.</w:t>
            </w:r>
            <w:r w:rsidR="005F621C" w:rsidRPr="007107ED">
              <w:rPr>
                <w:rFonts w:ascii="Arial" w:hAnsi="Arial" w:cs="Arial"/>
              </w:rPr>
              <w:t xml:space="preserve"> </w:t>
            </w:r>
            <w:r w:rsidR="00852308" w:rsidRPr="007107ED">
              <w:rPr>
                <w:rFonts w:ascii="Arial" w:hAnsi="Arial" w:cs="Arial"/>
              </w:rPr>
              <w:t>(Noteikumu 3</w:t>
            </w:r>
            <w:r w:rsidR="001B47FB">
              <w:rPr>
                <w:rFonts w:ascii="Arial" w:hAnsi="Arial" w:cs="Arial"/>
              </w:rPr>
              <w:t>1</w:t>
            </w:r>
            <w:r w:rsidR="00852308" w:rsidRPr="007107ED">
              <w:rPr>
                <w:rFonts w:ascii="Arial" w:hAnsi="Arial" w:cs="Arial"/>
              </w:rPr>
              <w:t>.2. apakšpunkts)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71416" w14:textId="77777777" w:rsidR="00706F8A" w:rsidRPr="007107ED" w:rsidRDefault="00000000" w:rsidP="007107ED">
            <w:pPr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 xml:space="preserve">jā </w:t>
            </w:r>
            <w:r w:rsidR="00A0434E" w:rsidRPr="007107ED">
              <w:rPr>
                <w:rFonts w:ascii="Arial" w:hAnsi="Arial" w:cs="Arial"/>
              </w:rPr>
              <w:t>–</w:t>
            </w:r>
            <w:r w:rsidRPr="007107ED">
              <w:rPr>
                <w:rFonts w:ascii="Arial" w:hAnsi="Arial" w:cs="Arial"/>
              </w:rPr>
              <w:t xml:space="preserve"> atbilst administratīvajiem kritērijiem</w:t>
            </w:r>
          </w:p>
          <w:p w14:paraId="4EEA6543" w14:textId="77777777" w:rsidR="00706F8A" w:rsidRPr="007107ED" w:rsidRDefault="00000000" w:rsidP="007107ED">
            <w:pPr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 xml:space="preserve">nē </w:t>
            </w:r>
            <w:r w:rsidR="00A0434E" w:rsidRPr="007107ED">
              <w:rPr>
                <w:rFonts w:ascii="Arial" w:hAnsi="Arial" w:cs="Arial"/>
              </w:rPr>
              <w:t>–</w:t>
            </w:r>
            <w:r w:rsidRPr="007107ED">
              <w:rPr>
                <w:rFonts w:ascii="Arial" w:hAnsi="Arial" w:cs="Arial"/>
              </w:rPr>
              <w:t xml:space="preserve"> neatbilst administratīvajiem kritērijiem</w:t>
            </w:r>
          </w:p>
        </w:tc>
      </w:tr>
      <w:tr w:rsidR="00127A17" w14:paraId="3A71645E" w14:textId="77777777" w:rsidTr="007107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7AAC8" w14:textId="77777777" w:rsidR="00706F8A" w:rsidRPr="007107ED" w:rsidRDefault="00000000" w:rsidP="00CE04F4">
            <w:pPr>
              <w:jc w:val="center"/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>14.</w:t>
            </w: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F9864" w14:textId="77777777" w:rsidR="00706F8A" w:rsidRPr="007107ED" w:rsidRDefault="00000000" w:rsidP="00CE04F4">
            <w:pPr>
              <w:jc w:val="both"/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 xml:space="preserve">Projekta pieteikumam pievienota </w:t>
            </w:r>
            <w:proofErr w:type="spellStart"/>
            <w:r w:rsidRPr="00F25F3B">
              <w:rPr>
                <w:rFonts w:ascii="Arial" w:hAnsi="Arial" w:cs="Arial"/>
                <w:i/>
                <w:iCs/>
              </w:rPr>
              <w:t>de</w:t>
            </w:r>
            <w:proofErr w:type="spellEnd"/>
            <w:r w:rsidRPr="00F25F3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25F3B">
              <w:rPr>
                <w:rFonts w:ascii="Arial" w:hAnsi="Arial" w:cs="Arial"/>
                <w:i/>
                <w:iCs/>
              </w:rPr>
              <w:t>minimis</w:t>
            </w:r>
            <w:proofErr w:type="spellEnd"/>
            <w:r w:rsidRPr="007107ED">
              <w:rPr>
                <w:rFonts w:ascii="Arial" w:hAnsi="Arial" w:cs="Arial"/>
              </w:rPr>
              <w:t xml:space="preserve"> veidlapa vai norādīts ID numurs. (Noteikumu 3</w:t>
            </w:r>
            <w:r w:rsidR="001B47FB">
              <w:rPr>
                <w:rFonts w:ascii="Arial" w:hAnsi="Arial" w:cs="Arial"/>
              </w:rPr>
              <w:t>1</w:t>
            </w:r>
            <w:r w:rsidRPr="007107ED">
              <w:rPr>
                <w:rFonts w:ascii="Arial" w:hAnsi="Arial" w:cs="Arial"/>
              </w:rPr>
              <w:t>.3</w:t>
            </w:r>
            <w:r w:rsidR="00CE04F4">
              <w:rPr>
                <w:rFonts w:ascii="Arial" w:hAnsi="Arial" w:cs="Arial"/>
              </w:rPr>
              <w:t>.</w:t>
            </w:r>
            <w:r w:rsidRPr="007107ED">
              <w:rPr>
                <w:rFonts w:ascii="Arial" w:hAnsi="Arial" w:cs="Arial"/>
              </w:rPr>
              <w:t xml:space="preserve"> apakšpunkts)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61715" w14:textId="77777777" w:rsidR="00706F8A" w:rsidRPr="007107ED" w:rsidRDefault="00000000" w:rsidP="007107ED">
            <w:pPr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 xml:space="preserve">jā </w:t>
            </w:r>
            <w:r w:rsidR="00A0434E" w:rsidRPr="007107ED">
              <w:rPr>
                <w:rFonts w:ascii="Arial" w:hAnsi="Arial" w:cs="Arial"/>
              </w:rPr>
              <w:t>–</w:t>
            </w:r>
            <w:r w:rsidRPr="007107ED">
              <w:rPr>
                <w:rFonts w:ascii="Arial" w:hAnsi="Arial" w:cs="Arial"/>
              </w:rPr>
              <w:t xml:space="preserve"> atbilst administratīvajiem kritērijiem</w:t>
            </w:r>
          </w:p>
          <w:p w14:paraId="55806A0D" w14:textId="77777777" w:rsidR="00706F8A" w:rsidRPr="007107ED" w:rsidRDefault="00000000" w:rsidP="007107ED">
            <w:pPr>
              <w:rPr>
                <w:rFonts w:ascii="Arial" w:hAnsi="Arial" w:cs="Arial"/>
              </w:rPr>
            </w:pPr>
            <w:r w:rsidRPr="007107ED">
              <w:rPr>
                <w:rFonts w:ascii="Arial" w:hAnsi="Arial" w:cs="Arial"/>
              </w:rPr>
              <w:t xml:space="preserve">nē </w:t>
            </w:r>
            <w:r w:rsidR="00A0434E" w:rsidRPr="007107ED">
              <w:rPr>
                <w:rFonts w:ascii="Arial" w:hAnsi="Arial" w:cs="Arial"/>
              </w:rPr>
              <w:t>–</w:t>
            </w:r>
            <w:r w:rsidRPr="007107ED">
              <w:rPr>
                <w:rFonts w:ascii="Arial" w:hAnsi="Arial" w:cs="Arial"/>
              </w:rPr>
              <w:t xml:space="preserve"> neatbilst administratīvajiem kritērijiem </w:t>
            </w:r>
          </w:p>
        </w:tc>
      </w:tr>
    </w:tbl>
    <w:p w14:paraId="2B24365A" w14:textId="77777777" w:rsidR="00E6080E" w:rsidRPr="007107ED" w:rsidRDefault="00E6080E" w:rsidP="007107ED">
      <w:pPr>
        <w:rPr>
          <w:rFonts w:ascii="Arial" w:hAnsi="Arial" w:cs="Arial"/>
        </w:rPr>
      </w:pPr>
    </w:p>
    <w:sectPr w:rsidR="00E6080E" w:rsidRPr="007107ED" w:rsidSect="00327B9F">
      <w:footerReference w:type="default" r:id="rId8"/>
      <w:footerReference w:type="first" r:id="rId9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8F01C" w14:textId="77777777" w:rsidR="00936D36" w:rsidRDefault="00936D36">
      <w:pPr>
        <w:spacing w:after="0" w:line="240" w:lineRule="auto"/>
      </w:pPr>
      <w:r>
        <w:separator/>
      </w:r>
    </w:p>
  </w:endnote>
  <w:endnote w:type="continuationSeparator" w:id="0">
    <w:p w14:paraId="35C92566" w14:textId="77777777" w:rsidR="00936D36" w:rsidRDefault="0093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30D7D" w14:textId="77777777" w:rsidR="00127A17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8DF0D" w14:textId="77777777" w:rsidR="00127A17" w:rsidRDefault="00000000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5BCF5" w14:textId="77777777" w:rsidR="00936D36" w:rsidRDefault="00936D36">
      <w:pPr>
        <w:spacing w:after="0" w:line="240" w:lineRule="auto"/>
      </w:pPr>
      <w:r>
        <w:separator/>
      </w:r>
    </w:p>
  </w:footnote>
  <w:footnote w:type="continuationSeparator" w:id="0">
    <w:p w14:paraId="0C76F6F9" w14:textId="77777777" w:rsidR="00936D36" w:rsidRDefault="00936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0056FC"/>
    <w:multiLevelType w:val="hybridMultilevel"/>
    <w:tmpl w:val="EFE84024"/>
    <w:lvl w:ilvl="0" w:tplc="12CA46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8600C90" w:tentative="1">
      <w:start w:val="1"/>
      <w:numFmt w:val="lowerLetter"/>
      <w:lvlText w:val="%2."/>
      <w:lvlJc w:val="left"/>
      <w:pPr>
        <w:ind w:left="1440" w:hanging="360"/>
      </w:pPr>
    </w:lvl>
    <w:lvl w:ilvl="2" w:tplc="61EC3830" w:tentative="1">
      <w:start w:val="1"/>
      <w:numFmt w:val="lowerRoman"/>
      <w:lvlText w:val="%3."/>
      <w:lvlJc w:val="right"/>
      <w:pPr>
        <w:ind w:left="2160" w:hanging="180"/>
      </w:pPr>
    </w:lvl>
    <w:lvl w:ilvl="3" w:tplc="D8027BEC" w:tentative="1">
      <w:start w:val="1"/>
      <w:numFmt w:val="decimal"/>
      <w:lvlText w:val="%4."/>
      <w:lvlJc w:val="left"/>
      <w:pPr>
        <w:ind w:left="2880" w:hanging="360"/>
      </w:pPr>
    </w:lvl>
    <w:lvl w:ilvl="4" w:tplc="959ADB9A" w:tentative="1">
      <w:start w:val="1"/>
      <w:numFmt w:val="lowerLetter"/>
      <w:lvlText w:val="%5."/>
      <w:lvlJc w:val="left"/>
      <w:pPr>
        <w:ind w:left="3600" w:hanging="360"/>
      </w:pPr>
    </w:lvl>
    <w:lvl w:ilvl="5" w:tplc="56962812" w:tentative="1">
      <w:start w:val="1"/>
      <w:numFmt w:val="lowerRoman"/>
      <w:lvlText w:val="%6."/>
      <w:lvlJc w:val="right"/>
      <w:pPr>
        <w:ind w:left="4320" w:hanging="180"/>
      </w:pPr>
    </w:lvl>
    <w:lvl w:ilvl="6" w:tplc="AE1E3E08" w:tentative="1">
      <w:start w:val="1"/>
      <w:numFmt w:val="decimal"/>
      <w:lvlText w:val="%7."/>
      <w:lvlJc w:val="left"/>
      <w:pPr>
        <w:ind w:left="5040" w:hanging="360"/>
      </w:pPr>
    </w:lvl>
    <w:lvl w:ilvl="7" w:tplc="165ADEC8" w:tentative="1">
      <w:start w:val="1"/>
      <w:numFmt w:val="lowerLetter"/>
      <w:lvlText w:val="%8."/>
      <w:lvlJc w:val="left"/>
      <w:pPr>
        <w:ind w:left="5760" w:hanging="360"/>
      </w:pPr>
    </w:lvl>
    <w:lvl w:ilvl="8" w:tplc="61FC6E7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62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0E"/>
    <w:rsid w:val="000A1841"/>
    <w:rsid w:val="00127A17"/>
    <w:rsid w:val="00171093"/>
    <w:rsid w:val="001B47FB"/>
    <w:rsid w:val="00242A44"/>
    <w:rsid w:val="002464A6"/>
    <w:rsid w:val="003206C3"/>
    <w:rsid w:val="00327B9F"/>
    <w:rsid w:val="003307D4"/>
    <w:rsid w:val="003A6EC7"/>
    <w:rsid w:val="003C107B"/>
    <w:rsid w:val="003E7073"/>
    <w:rsid w:val="00427F86"/>
    <w:rsid w:val="0045308C"/>
    <w:rsid w:val="004D0687"/>
    <w:rsid w:val="005F59EC"/>
    <w:rsid w:val="005F621C"/>
    <w:rsid w:val="00611C4C"/>
    <w:rsid w:val="00615DD6"/>
    <w:rsid w:val="006D7022"/>
    <w:rsid w:val="00706F8A"/>
    <w:rsid w:val="007107ED"/>
    <w:rsid w:val="0076639B"/>
    <w:rsid w:val="007744E3"/>
    <w:rsid w:val="007C3AE4"/>
    <w:rsid w:val="007E1C62"/>
    <w:rsid w:val="00815994"/>
    <w:rsid w:val="00852308"/>
    <w:rsid w:val="008B310F"/>
    <w:rsid w:val="00923E9B"/>
    <w:rsid w:val="00936D36"/>
    <w:rsid w:val="00957FEC"/>
    <w:rsid w:val="00A041E0"/>
    <w:rsid w:val="00A0434E"/>
    <w:rsid w:val="00A31E63"/>
    <w:rsid w:val="00AD4824"/>
    <w:rsid w:val="00AE14BE"/>
    <w:rsid w:val="00AF6E5B"/>
    <w:rsid w:val="00B14AB9"/>
    <w:rsid w:val="00B52853"/>
    <w:rsid w:val="00BB05E3"/>
    <w:rsid w:val="00BC6227"/>
    <w:rsid w:val="00BC7B72"/>
    <w:rsid w:val="00C924BF"/>
    <w:rsid w:val="00CE04F4"/>
    <w:rsid w:val="00D11F53"/>
    <w:rsid w:val="00D660F1"/>
    <w:rsid w:val="00DA2377"/>
    <w:rsid w:val="00DA2CEA"/>
    <w:rsid w:val="00E46181"/>
    <w:rsid w:val="00E6080E"/>
    <w:rsid w:val="00E95FED"/>
    <w:rsid w:val="00F25F3B"/>
    <w:rsid w:val="00F94CBF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EA2359"/>
  <w15:docId w15:val="{6FC81F25-9623-44A6-80E7-EC545DA9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Virsraksts7">
    <w:name w:val="heading 7"/>
    <w:basedOn w:val="Parasts"/>
    <w:next w:val="Parasts"/>
    <w:link w:val="Virsraksts7Rakstz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Virsraksts8">
    <w:name w:val="heading 8"/>
    <w:basedOn w:val="Parasts"/>
    <w:next w:val="Parasts"/>
    <w:link w:val="Virsraksts8Rakstz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Virsraksts9">
    <w:name w:val="heading 9"/>
    <w:basedOn w:val="Parasts"/>
    <w:next w:val="Parasts"/>
    <w:link w:val="Virsraksts9Rakstz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Pr>
      <w:rFonts w:ascii="Arial" w:eastAsia="Arial" w:hAnsi="Arial" w:cs="Arial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rPr>
      <w:rFonts w:ascii="Arial" w:eastAsia="Arial" w:hAnsi="Arial" w:cs="Arial"/>
      <w:sz w:val="34"/>
    </w:rPr>
  </w:style>
  <w:style w:type="character" w:customStyle="1" w:styleId="Virsraksts3Rakstz">
    <w:name w:val="Virsraksts 3 Rakstz."/>
    <w:basedOn w:val="Noklusjumarindkopasfonts"/>
    <w:link w:val="Virsraksts3"/>
    <w:uiPriority w:val="9"/>
    <w:rPr>
      <w:rFonts w:ascii="Arial" w:eastAsia="Arial" w:hAnsi="Arial" w:cs="Arial"/>
      <w:sz w:val="30"/>
      <w:szCs w:val="30"/>
    </w:rPr>
  </w:style>
  <w:style w:type="character" w:customStyle="1" w:styleId="Virsraksts4Rakstz">
    <w:name w:val="Virsraksts 4 Rakstz."/>
    <w:basedOn w:val="Noklusjumarindkopasfonts"/>
    <w:link w:val="Virsrakst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Virsraksts5Rakstz">
    <w:name w:val="Virsraksts 5 Rakstz."/>
    <w:basedOn w:val="Noklusjumarindkopasfonts"/>
    <w:link w:val="Virsrakst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Virsraksts7Rakstz">
    <w:name w:val="Virsraksts 7 Rakstz."/>
    <w:basedOn w:val="Noklusjumarindkopasfonts"/>
    <w:link w:val="Virsrakst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Virsraksts8Rakstz">
    <w:name w:val="Virsraksts 8 Rakstz."/>
    <w:basedOn w:val="Noklusjumarindkopasfonts"/>
    <w:link w:val="Virsrakst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Virsraksts9Rakstz">
    <w:name w:val="Virsraksts 9 Rakstz."/>
    <w:basedOn w:val="Noklusjumarindkopasfonts"/>
    <w:link w:val="Virsraksts9"/>
    <w:uiPriority w:val="9"/>
    <w:rPr>
      <w:rFonts w:ascii="Arial" w:eastAsia="Arial" w:hAnsi="Arial" w:cs="Arial"/>
      <w:i/>
      <w:iCs/>
      <w:sz w:val="21"/>
      <w:szCs w:val="21"/>
    </w:rPr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  <w:style w:type="paragraph" w:styleId="Bezatstarpm">
    <w:name w:val="No Spacing"/>
    <w:uiPriority w:val="1"/>
    <w:qFormat/>
    <w:pPr>
      <w:spacing w:after="0" w:line="240" w:lineRule="auto"/>
    </w:pPr>
  </w:style>
  <w:style w:type="paragraph" w:styleId="Nosaukums">
    <w:name w:val="Title"/>
    <w:basedOn w:val="Parasts"/>
    <w:next w:val="Parasts"/>
    <w:link w:val="NosaukumsRakstz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osaukumsRakstz">
    <w:name w:val="Nosaukums Rakstz."/>
    <w:basedOn w:val="Noklusjumarindkopasfonts"/>
    <w:link w:val="Nosaukums"/>
    <w:uiPriority w:val="10"/>
    <w:rPr>
      <w:sz w:val="48"/>
      <w:szCs w:val="48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pPr>
      <w:spacing w:before="200" w:after="200"/>
    </w:pPr>
    <w:rPr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Pr>
      <w:sz w:val="24"/>
      <w:szCs w:val="24"/>
    </w:rPr>
  </w:style>
  <w:style w:type="paragraph" w:styleId="Citts">
    <w:name w:val="Quote"/>
    <w:basedOn w:val="Parasts"/>
    <w:next w:val="Parasts"/>
    <w:link w:val="CittsRakstz"/>
    <w:uiPriority w:val="29"/>
    <w:qFormat/>
    <w:pPr>
      <w:ind w:left="720" w:right="720"/>
    </w:pPr>
    <w:rPr>
      <w:i/>
    </w:rPr>
  </w:style>
  <w:style w:type="character" w:customStyle="1" w:styleId="CittsRakstz">
    <w:name w:val="Citāts Rakstz."/>
    <w:link w:val="Citts"/>
    <w:uiPriority w:val="29"/>
    <w:rPr>
      <w:i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vscittsRakstz">
    <w:name w:val="Intensīvs citāts Rakstz."/>
    <w:link w:val="Intensvscitts"/>
    <w:uiPriority w:val="30"/>
    <w:rPr>
      <w:i/>
    </w:rPr>
  </w:style>
  <w:style w:type="paragraph" w:styleId="Galvene">
    <w:name w:val="header"/>
    <w:basedOn w:val="Parasts"/>
    <w:link w:val="GalveneRakstz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</w:style>
  <w:style w:type="paragraph" w:styleId="Kjene">
    <w:name w:val="footer"/>
    <w:basedOn w:val="Parasts"/>
    <w:link w:val="KjeneRakstz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Noklusjumarindkopasfonts"/>
    <w:uiPriority w:val="99"/>
  </w:style>
  <w:style w:type="paragraph" w:styleId="Parakstszemobjekta">
    <w:name w:val="caption"/>
    <w:basedOn w:val="Parasts"/>
    <w:next w:val="Parasts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KjeneRakstz">
    <w:name w:val="Kājene Rakstz."/>
    <w:link w:val="Kjene"/>
    <w:uiPriority w:val="99"/>
  </w:style>
  <w:style w:type="table" w:styleId="Reatabula">
    <w:name w:val="Table Grid"/>
    <w:basedOn w:val="Parastatabul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Parastatabu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Vienkratabula1">
    <w:name w:val="Plain Table 1"/>
    <w:basedOn w:val="Parastatabu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Vienkratabula2">
    <w:name w:val="Plain Table 2"/>
    <w:basedOn w:val="Parastatabula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Vienkratabula3">
    <w:name w:val="Plain Table 3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Vienkratabula4">
    <w:name w:val="Plain Table 4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Vienkratabula5">
    <w:name w:val="Plain Table 5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Reatabula1gaia">
    <w:name w:val="Grid Table 1 Light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Reatabula2">
    <w:name w:val="Grid Table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Reatabula3">
    <w:name w:val="Grid Table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Reatabula4">
    <w:name w:val="Grid Table 4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Reatabula5tuma">
    <w:name w:val="Grid Table 5 Dark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Reatabula6krsaina">
    <w:name w:val="Grid Table 6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Reatabula7krsaina">
    <w:name w:val="Grid Table 7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arakstatabula1gaia">
    <w:name w:val="List Table 1 Light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Sarakstatabula2">
    <w:name w:val="List Table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Sarakstatabula3">
    <w:name w:val="List Table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Sarakstatabula4">
    <w:name w:val="List Table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Sarakstatabula5tuma">
    <w:name w:val="List Table 5 Dark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Sarakstatabula6krsaina">
    <w:name w:val="List Table 6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Sarakstatabula7krsaina">
    <w:name w:val="List Table 7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saite">
    <w:name w:val="Hyperlink"/>
    <w:uiPriority w:val="99"/>
    <w:unhideWhenUsed/>
    <w:rPr>
      <w:color w:val="0563C1" w:themeColor="hyperlink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VrestekstsRakstz">
    <w:name w:val="Vēres teksts Rakstz."/>
    <w:link w:val="Vresteksts"/>
    <w:uiPriority w:val="99"/>
    <w:rPr>
      <w:sz w:val="18"/>
    </w:rPr>
  </w:style>
  <w:style w:type="character" w:styleId="Vresatsauce">
    <w:name w:val="footnote reference"/>
    <w:basedOn w:val="Noklusjumarindkopasfonts"/>
    <w:uiPriority w:val="99"/>
    <w:unhideWhenUsed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BeiguvrestekstsRakstz">
    <w:name w:val="Beigu vēres teksts Rakstz."/>
    <w:link w:val="Beiguvresteksts"/>
    <w:uiPriority w:val="99"/>
    <w:rPr>
      <w:sz w:val="20"/>
    </w:rPr>
  </w:style>
  <w:style w:type="character" w:styleId="Beiguvresatsauce">
    <w:name w:val="endnote reference"/>
    <w:basedOn w:val="Noklusjumarindkopasfonts"/>
    <w:uiPriority w:val="99"/>
    <w:semiHidden/>
    <w:unhideWhenUsed/>
    <w:rPr>
      <w:vertAlign w:val="superscript"/>
    </w:rPr>
  </w:style>
  <w:style w:type="paragraph" w:styleId="Saturs1">
    <w:name w:val="toc 1"/>
    <w:basedOn w:val="Parasts"/>
    <w:next w:val="Parasts"/>
    <w:uiPriority w:val="39"/>
    <w:unhideWhenUsed/>
    <w:pPr>
      <w:spacing w:after="57"/>
    </w:pPr>
  </w:style>
  <w:style w:type="paragraph" w:styleId="Saturs2">
    <w:name w:val="toc 2"/>
    <w:basedOn w:val="Parasts"/>
    <w:next w:val="Parasts"/>
    <w:uiPriority w:val="39"/>
    <w:unhideWhenUsed/>
    <w:pPr>
      <w:spacing w:after="57"/>
      <w:ind w:left="283"/>
    </w:pPr>
  </w:style>
  <w:style w:type="paragraph" w:styleId="Saturs3">
    <w:name w:val="toc 3"/>
    <w:basedOn w:val="Parasts"/>
    <w:next w:val="Parasts"/>
    <w:uiPriority w:val="39"/>
    <w:unhideWhenUsed/>
    <w:pPr>
      <w:spacing w:after="57"/>
      <w:ind w:left="567"/>
    </w:pPr>
  </w:style>
  <w:style w:type="paragraph" w:styleId="Saturs4">
    <w:name w:val="toc 4"/>
    <w:basedOn w:val="Parasts"/>
    <w:next w:val="Parasts"/>
    <w:uiPriority w:val="39"/>
    <w:unhideWhenUsed/>
    <w:pPr>
      <w:spacing w:after="57"/>
      <w:ind w:left="850"/>
    </w:pPr>
  </w:style>
  <w:style w:type="paragraph" w:styleId="Saturs5">
    <w:name w:val="toc 5"/>
    <w:basedOn w:val="Parasts"/>
    <w:next w:val="Parasts"/>
    <w:uiPriority w:val="39"/>
    <w:unhideWhenUsed/>
    <w:pPr>
      <w:spacing w:after="57"/>
      <w:ind w:left="1134"/>
    </w:pPr>
  </w:style>
  <w:style w:type="paragraph" w:styleId="Saturs6">
    <w:name w:val="toc 6"/>
    <w:basedOn w:val="Parasts"/>
    <w:next w:val="Parasts"/>
    <w:uiPriority w:val="39"/>
    <w:unhideWhenUsed/>
    <w:pPr>
      <w:spacing w:after="57"/>
      <w:ind w:left="1417"/>
    </w:pPr>
  </w:style>
  <w:style w:type="paragraph" w:styleId="Saturs7">
    <w:name w:val="toc 7"/>
    <w:basedOn w:val="Parasts"/>
    <w:next w:val="Parasts"/>
    <w:uiPriority w:val="39"/>
    <w:unhideWhenUsed/>
    <w:pPr>
      <w:spacing w:after="57"/>
      <w:ind w:left="1701"/>
    </w:pPr>
  </w:style>
  <w:style w:type="paragraph" w:styleId="Saturs8">
    <w:name w:val="toc 8"/>
    <w:basedOn w:val="Parasts"/>
    <w:next w:val="Parasts"/>
    <w:uiPriority w:val="39"/>
    <w:unhideWhenUsed/>
    <w:pPr>
      <w:spacing w:after="57"/>
      <w:ind w:left="1984"/>
    </w:pPr>
  </w:style>
  <w:style w:type="paragraph" w:styleId="Saturs9">
    <w:name w:val="toc 9"/>
    <w:basedOn w:val="Parasts"/>
    <w:next w:val="Parasts"/>
    <w:uiPriority w:val="39"/>
    <w:unhideWhenUsed/>
    <w:pPr>
      <w:spacing w:after="57"/>
      <w:ind w:left="2268"/>
    </w:pPr>
  </w:style>
  <w:style w:type="paragraph" w:styleId="Saturardtjavirsraksts">
    <w:name w:val="TOC Heading"/>
    <w:uiPriority w:val="39"/>
    <w:unhideWhenUsed/>
  </w:style>
  <w:style w:type="paragraph" w:styleId="Ilustrcijusaraksts">
    <w:name w:val="table of figures"/>
    <w:basedOn w:val="Parasts"/>
    <w:next w:val="Parasts"/>
    <w:uiPriority w:val="99"/>
    <w:unhideWhenUsed/>
    <w:pPr>
      <w:spacing w:after="0"/>
    </w:pPr>
  </w:style>
  <w:style w:type="paragraph" w:styleId="Paraststmeklis">
    <w:name w:val="Normal (Web)"/>
    <w:basedOn w:val="Parasts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3291</Words>
  <Characters>1877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Liepajas Dome2</dc:creator>
  <cp:lastModifiedBy>Sintija Biša</cp:lastModifiedBy>
  <cp:revision>2</cp:revision>
  <cp:lastPrinted>2024-02-19T12:42:00Z</cp:lastPrinted>
  <dcterms:created xsi:type="dcterms:W3CDTF">2025-02-04T11:05:00Z</dcterms:created>
  <dcterms:modified xsi:type="dcterms:W3CDTF">2025-02-04T11:05:00Z</dcterms:modified>
</cp:coreProperties>
</file>