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63E3" w14:textId="77777777" w:rsidR="008231C3" w:rsidRDefault="008231C3" w:rsidP="0082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4DDACD8" w14:textId="77777777" w:rsidR="00BC1844" w:rsidRPr="00CA32D3" w:rsidRDefault="00CF4FB4" w:rsidP="004D0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 xml:space="preserve">ĀRKĀRTAS </w:t>
      </w:r>
      <w:r w:rsidRPr="00CA32D3">
        <w:rPr>
          <w:rFonts w:cs="Arial"/>
          <w:b/>
          <w:bCs/>
        </w:rPr>
        <w:t>SĒDES PROTOKOLS</w:t>
      </w:r>
    </w:p>
    <w:p w14:paraId="073CA8D9" w14:textId="77777777" w:rsidR="00BC1844" w:rsidRPr="00BC21E9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Liepājā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576"/>
      </w:tblGrid>
      <w:tr w:rsidR="00CE2427" w14:paraId="7C8FC953" w14:textId="77777777" w:rsidTr="00070CC8">
        <w:trPr>
          <w:trHeight w:val="628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D264029" w14:textId="77777777" w:rsidR="008231C3" w:rsidRPr="00BC21E9" w:rsidRDefault="008231C3" w:rsidP="000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7F7828A0" w14:textId="77777777" w:rsidR="008231C3" w:rsidRPr="00BC21E9" w:rsidRDefault="00CF4FB4" w:rsidP="000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C21E9">
              <w:rPr>
                <w:rFonts w:cs="Arial"/>
              </w:rPr>
              <w:t>2022.gada 12.maijā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3FBB8A1F" w14:textId="77777777" w:rsidR="008231C3" w:rsidRPr="00BC21E9" w:rsidRDefault="008231C3" w:rsidP="000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</w:rPr>
            </w:pPr>
          </w:p>
          <w:p w14:paraId="18AE94D1" w14:textId="77777777" w:rsidR="008231C3" w:rsidRPr="00BC21E9" w:rsidRDefault="00CF4FB4" w:rsidP="0007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</w:rPr>
            </w:pPr>
            <w:r w:rsidRPr="00BC21E9">
              <w:rPr>
                <w:rFonts w:cs="Arial"/>
              </w:rPr>
              <w:t xml:space="preserve">Nr. </w:t>
            </w:r>
            <w:r>
              <w:rPr>
                <w:rFonts w:cs="Arial"/>
              </w:rPr>
              <w:t>8</w:t>
            </w:r>
          </w:p>
        </w:tc>
      </w:tr>
    </w:tbl>
    <w:p w14:paraId="332B6638" w14:textId="77777777" w:rsidR="00BC1844" w:rsidRDefault="00BC1844" w:rsidP="008231C3">
      <w:pPr>
        <w:widowControl w:val="0"/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22FD4FEE" w14:textId="77777777" w:rsidR="008231C3" w:rsidRPr="00CA32D3" w:rsidRDefault="00CF4FB4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A32D3">
        <w:rPr>
          <w:rFonts w:cs="Arial"/>
          <w:b/>
          <w:bCs/>
        </w:rPr>
        <w:t>Sēde sasaukta</w:t>
      </w:r>
      <w:r w:rsidRPr="00CA32D3">
        <w:rPr>
          <w:rFonts w:cs="Arial"/>
        </w:rPr>
        <w:t xml:space="preserve"> </w:t>
      </w:r>
      <w:r w:rsidRPr="00EE2C63">
        <w:rPr>
          <w:rFonts w:cs="Arial"/>
        </w:rPr>
        <w:t>2022.gada 12.maijā</w:t>
      </w:r>
      <w:r>
        <w:rPr>
          <w:rFonts w:cs="Arial"/>
        </w:rPr>
        <w:t xml:space="preserve"> pulksten </w:t>
      </w:r>
      <w:r w:rsidR="00CB5BC4" w:rsidRPr="00545294">
        <w:rPr>
          <w:szCs w:val="20"/>
        </w:rPr>
        <w:t>15:30</w:t>
      </w:r>
      <w:r w:rsidRPr="00961043">
        <w:rPr>
          <w:rFonts w:cs="Arial"/>
        </w:rPr>
        <w:t>.</w:t>
      </w:r>
    </w:p>
    <w:p w14:paraId="6AF03247" w14:textId="77777777" w:rsidR="008231C3" w:rsidRPr="00CA32D3" w:rsidRDefault="00CF4FB4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A32D3">
        <w:rPr>
          <w:rFonts w:cs="Arial"/>
          <w:b/>
          <w:bCs/>
        </w:rPr>
        <w:t>Sēde atklāta</w:t>
      </w:r>
      <w:r w:rsidRPr="00CA32D3">
        <w:rPr>
          <w:rFonts w:cs="Arial"/>
        </w:rPr>
        <w:t xml:space="preserve"> </w:t>
      </w:r>
      <w:r w:rsidRPr="00EE2C63">
        <w:rPr>
          <w:rFonts w:cs="Arial"/>
        </w:rPr>
        <w:t>2022.gada 12.maijā pulksten 15:31.</w:t>
      </w:r>
    </w:p>
    <w:p w14:paraId="1BC5BF50" w14:textId="77777777" w:rsidR="008231C3" w:rsidRPr="00CA32D3" w:rsidRDefault="00CF4FB4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A32D3">
        <w:rPr>
          <w:rFonts w:cs="Arial"/>
          <w:b/>
          <w:bCs/>
        </w:rPr>
        <w:t>Sēdi vada</w:t>
      </w:r>
      <w:r w:rsidRPr="00CA32D3">
        <w:rPr>
          <w:rFonts w:cs="Arial"/>
        </w:rPr>
        <w:t xml:space="preserve"> </w:t>
      </w:r>
      <w:r w:rsidRPr="00C47273">
        <w:rPr>
          <w:rFonts w:cs="Arial"/>
        </w:rPr>
        <w:t xml:space="preserve">Pašvaldības domes priekšsēdētājs </w:t>
      </w:r>
      <w:r w:rsidRPr="00C47273">
        <w:rPr>
          <w:rFonts w:cs="Arial"/>
          <w:b/>
          <w:bCs/>
        </w:rPr>
        <w:t xml:space="preserve">Gunārs </w:t>
      </w:r>
      <w:r w:rsidRPr="00CA32D3">
        <w:rPr>
          <w:rFonts w:cs="Arial"/>
          <w:b/>
          <w:bCs/>
        </w:rPr>
        <w:t xml:space="preserve"> </w:t>
      </w:r>
      <w:r w:rsidRPr="00C47273">
        <w:rPr>
          <w:rFonts w:cs="Arial"/>
          <w:b/>
          <w:bCs/>
        </w:rPr>
        <w:t>Ansiņš</w:t>
      </w:r>
    </w:p>
    <w:p w14:paraId="0C491ABC" w14:textId="77777777" w:rsidR="008231C3" w:rsidRPr="00CA32D3" w:rsidRDefault="008231C3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B935A63" w14:textId="77777777" w:rsidR="008231C3" w:rsidRPr="00CA32D3" w:rsidRDefault="00CF4FB4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A32D3">
        <w:rPr>
          <w:rFonts w:cs="Arial"/>
          <w:b/>
          <w:bCs/>
        </w:rPr>
        <w:t>Sēdē piedalās</w:t>
      </w:r>
      <w:r w:rsidRPr="00CA32D3">
        <w:rPr>
          <w:rFonts w:cs="Arial"/>
        </w:rPr>
        <w:t xml:space="preserve"> </w:t>
      </w:r>
      <w:r w:rsidRPr="008231C3">
        <w:rPr>
          <w:rFonts w:cs="Arial"/>
        </w:rPr>
        <w:t>1</w:t>
      </w:r>
      <w:r w:rsidR="00CB5BC4">
        <w:rPr>
          <w:rFonts w:cs="Arial"/>
        </w:rPr>
        <w:t>4</w:t>
      </w:r>
      <w:r w:rsidRPr="00CA32D3">
        <w:rPr>
          <w:rFonts w:cs="Arial"/>
        </w:rPr>
        <w:t xml:space="preserve"> </w:t>
      </w:r>
      <w:r>
        <w:rPr>
          <w:rFonts w:cs="Arial"/>
        </w:rPr>
        <w:t>deputāti</w:t>
      </w:r>
      <w:r w:rsidRPr="00CA32D3">
        <w:rPr>
          <w:rFonts w:cs="Arial"/>
        </w:rPr>
        <w:t>:</w:t>
      </w:r>
    </w:p>
    <w:p w14:paraId="0EFF7BBB" w14:textId="77777777" w:rsidR="00BC1844" w:rsidRPr="00192483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 w:rsidRPr="00192483">
        <w:rPr>
          <w:rFonts w:cs="Arial"/>
          <w:b/>
          <w:bCs/>
        </w:rPr>
        <w:t>Dace Bluķe</w:t>
      </w:r>
    </w:p>
    <w:p w14:paraId="7A3A80D5" w14:textId="77777777" w:rsidR="00BC1844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 w:rsidRPr="00192483">
        <w:rPr>
          <w:rFonts w:cs="Arial"/>
          <w:b/>
          <w:bCs/>
        </w:rPr>
        <w:t>Atis Deksnis</w:t>
      </w:r>
    </w:p>
    <w:p w14:paraId="316D6BA8" w14:textId="77777777" w:rsidR="00BC1844" w:rsidRPr="00192483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>
        <w:rPr>
          <w:rFonts w:cs="Arial"/>
          <w:b/>
          <w:bCs/>
        </w:rPr>
        <w:t xml:space="preserve">Helēna Geriloviča </w:t>
      </w:r>
      <w:r w:rsidRPr="00BC1844">
        <w:rPr>
          <w:rFonts w:cs="Arial"/>
          <w:bCs/>
        </w:rPr>
        <w:t>(attālināti)</w:t>
      </w:r>
    </w:p>
    <w:p w14:paraId="4DC7E4AC" w14:textId="77777777" w:rsidR="00BC1844" w:rsidRPr="00192483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 w:rsidRPr="00192483">
        <w:rPr>
          <w:rFonts w:cs="Arial"/>
          <w:b/>
          <w:bCs/>
        </w:rPr>
        <w:t xml:space="preserve">Uldis Hmieļevskis </w:t>
      </w:r>
    </w:p>
    <w:p w14:paraId="089C6FC2" w14:textId="77777777" w:rsidR="00BC1844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 w:rsidRPr="00192483">
        <w:rPr>
          <w:rFonts w:cs="Arial"/>
          <w:b/>
          <w:bCs/>
        </w:rPr>
        <w:t>Uldis Lipskis</w:t>
      </w:r>
    </w:p>
    <w:p w14:paraId="74780DB6" w14:textId="77777777" w:rsidR="00BC1844" w:rsidRPr="00192483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>
        <w:rPr>
          <w:rFonts w:cs="Arial"/>
          <w:b/>
          <w:bCs/>
        </w:rPr>
        <w:t xml:space="preserve">Linda Matisone </w:t>
      </w:r>
      <w:r w:rsidRPr="00BC1844">
        <w:rPr>
          <w:rFonts w:cs="Arial"/>
          <w:bCs/>
        </w:rPr>
        <w:t>(attālināti)</w:t>
      </w:r>
      <w:r w:rsidRPr="00192483">
        <w:rPr>
          <w:rFonts w:cs="Arial"/>
          <w:b/>
          <w:bCs/>
        </w:rPr>
        <w:t xml:space="preserve"> </w:t>
      </w:r>
    </w:p>
    <w:p w14:paraId="3CB2EDB6" w14:textId="77777777" w:rsidR="00BC1844" w:rsidRPr="00192483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>
        <w:rPr>
          <w:rFonts w:cs="Arial"/>
          <w:b/>
          <w:bCs/>
        </w:rPr>
        <w:t>Agris</w:t>
      </w:r>
      <w:r w:rsidRPr="00192483">
        <w:rPr>
          <w:rFonts w:cs="Arial"/>
          <w:b/>
          <w:bCs/>
        </w:rPr>
        <w:t xml:space="preserve"> Mertens </w:t>
      </w:r>
      <w:r w:rsidRPr="00B707D7">
        <w:rPr>
          <w:rFonts w:cs="Arial"/>
          <w:bCs/>
        </w:rPr>
        <w:t>(attālināti)</w:t>
      </w:r>
    </w:p>
    <w:p w14:paraId="37563CDA" w14:textId="77777777" w:rsidR="00BC1844" w:rsidRPr="00192483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>
        <w:rPr>
          <w:rFonts w:cs="Arial"/>
          <w:b/>
          <w:bCs/>
        </w:rPr>
        <w:t>Ludmila Rjazanova</w:t>
      </w:r>
    </w:p>
    <w:p w14:paraId="026959F4" w14:textId="77777777" w:rsidR="00BC1844" w:rsidRPr="00192483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 w:rsidRPr="00192483">
        <w:rPr>
          <w:rFonts w:cs="Arial"/>
          <w:b/>
          <w:bCs/>
        </w:rPr>
        <w:t xml:space="preserve">Uldis Sesks </w:t>
      </w:r>
    </w:p>
    <w:p w14:paraId="1EACA88E" w14:textId="77777777" w:rsidR="00BC1844" w:rsidRPr="00192483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 w:rsidRPr="00192483">
        <w:rPr>
          <w:rFonts w:cs="Arial"/>
          <w:b/>
          <w:bCs/>
        </w:rPr>
        <w:t>Edvīns Striks</w:t>
      </w:r>
      <w:r>
        <w:rPr>
          <w:rFonts w:cs="Arial"/>
          <w:b/>
          <w:bCs/>
        </w:rPr>
        <w:t xml:space="preserve"> </w:t>
      </w:r>
      <w:r w:rsidRPr="003F7D8B">
        <w:rPr>
          <w:rFonts w:cs="Arial"/>
          <w:bCs/>
        </w:rPr>
        <w:t>(attālināti)</w:t>
      </w:r>
    </w:p>
    <w:p w14:paraId="60CB0AEE" w14:textId="77777777" w:rsidR="00BC1844" w:rsidRPr="00192483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 w:rsidRPr="00192483">
        <w:rPr>
          <w:rFonts w:cs="Arial"/>
          <w:b/>
          <w:bCs/>
        </w:rPr>
        <w:t>Modris Šveiduks</w:t>
      </w:r>
      <w:r>
        <w:rPr>
          <w:rFonts w:cs="Arial"/>
          <w:b/>
          <w:bCs/>
        </w:rPr>
        <w:t xml:space="preserve"> </w:t>
      </w:r>
      <w:r w:rsidRPr="00BC1844">
        <w:rPr>
          <w:rFonts w:cs="Arial"/>
          <w:bCs/>
        </w:rPr>
        <w:t>(attālināti)</w:t>
      </w:r>
    </w:p>
    <w:p w14:paraId="686F37E8" w14:textId="77777777" w:rsidR="00BC1844" w:rsidRPr="00192483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 w:rsidRPr="00192483">
        <w:rPr>
          <w:rFonts w:cs="Arial"/>
          <w:b/>
          <w:bCs/>
        </w:rPr>
        <w:t xml:space="preserve">Helvijs Valcis </w:t>
      </w:r>
      <w:r w:rsidRPr="00B707D7">
        <w:rPr>
          <w:rFonts w:cs="Arial"/>
          <w:bCs/>
        </w:rPr>
        <w:t>(attālināti)</w:t>
      </w:r>
    </w:p>
    <w:p w14:paraId="0DC0AB42" w14:textId="77777777" w:rsidR="00BC1844" w:rsidRDefault="00CF4FB4" w:rsidP="00BC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/>
          <w:bCs/>
        </w:rPr>
      </w:pPr>
      <w:r w:rsidRPr="00192483">
        <w:rPr>
          <w:rFonts w:cs="Arial"/>
          <w:b/>
          <w:bCs/>
        </w:rPr>
        <w:t>Jānis Vilnītis</w:t>
      </w:r>
      <w:r>
        <w:rPr>
          <w:rFonts w:cs="Arial"/>
          <w:b/>
          <w:bCs/>
        </w:rPr>
        <w:t xml:space="preserve"> </w:t>
      </w:r>
    </w:p>
    <w:p w14:paraId="3376ACA3" w14:textId="77777777" w:rsidR="008231C3" w:rsidRPr="00010772" w:rsidRDefault="00CF4FB4" w:rsidP="0001077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  <w:bCs/>
        </w:rPr>
      </w:pPr>
      <w:r>
        <w:rPr>
          <w:rFonts w:cs="Arial"/>
          <w:b/>
          <w:bCs/>
        </w:rPr>
        <w:t xml:space="preserve">Vilnis Vitkovskis </w:t>
      </w:r>
      <w:r w:rsidRPr="00BC1844">
        <w:rPr>
          <w:rFonts w:cs="Arial"/>
          <w:bCs/>
        </w:rPr>
        <w:t>(attālināti)</w:t>
      </w:r>
    </w:p>
    <w:p w14:paraId="6AC9C2C0" w14:textId="77777777" w:rsidR="008231C3" w:rsidRPr="00CA32D3" w:rsidRDefault="00CF4FB4" w:rsidP="008231C3">
      <w:pPr>
        <w:widowControl w:val="0"/>
        <w:autoSpaceDE w:val="0"/>
        <w:autoSpaceDN w:val="0"/>
        <w:adjustRightInd w:val="0"/>
        <w:spacing w:after="0" w:line="240" w:lineRule="auto"/>
        <w:ind w:firstLine="1559"/>
        <w:rPr>
          <w:rFonts w:cs="Arial"/>
        </w:rPr>
      </w:pPr>
      <w:r w:rsidRPr="00CA32D3">
        <w:rPr>
          <w:rFonts w:cs="Arial"/>
        </w:rPr>
        <w:t xml:space="preserve"> </w:t>
      </w:r>
    </w:p>
    <w:p w14:paraId="59414246" w14:textId="77777777" w:rsidR="008231C3" w:rsidRDefault="00CF4FB4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b/>
          <w:bCs/>
        </w:rPr>
        <w:t>Uzaicinātās personas</w:t>
      </w:r>
      <w:r w:rsidRPr="00CA32D3">
        <w:rPr>
          <w:rFonts w:cs="Arial"/>
          <w:b/>
          <w:bCs/>
        </w:rPr>
        <w:t>:</w:t>
      </w:r>
      <w:r w:rsidRPr="00CA32D3">
        <w:rPr>
          <w:rFonts w:cs="Arial"/>
        </w:rPr>
        <w:t xml:space="preserve"> </w:t>
      </w:r>
    </w:p>
    <w:p w14:paraId="37986174" w14:textId="77777777" w:rsidR="008231C3" w:rsidRPr="00CA32D3" w:rsidRDefault="00CF4FB4" w:rsidP="0001077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Arial"/>
        </w:rPr>
      </w:pPr>
      <w:r w:rsidRPr="0074300A">
        <w:rPr>
          <w:rFonts w:cs="Arial"/>
          <w:b/>
        </w:rPr>
        <w:t>Māris Egmanis</w:t>
      </w:r>
      <w:r>
        <w:rPr>
          <w:rFonts w:cs="Arial"/>
          <w:b/>
        </w:rPr>
        <w:t>,</w:t>
      </w:r>
      <w:r w:rsidRPr="0074300A">
        <w:rPr>
          <w:rFonts w:cs="Arial"/>
          <w:b/>
        </w:rPr>
        <w:t xml:space="preserve"> </w:t>
      </w:r>
      <w:r w:rsidR="00564F34" w:rsidRPr="00010772">
        <w:rPr>
          <w:rFonts w:cs="Arial"/>
        </w:rPr>
        <w:t xml:space="preserve">Nekustamā īpašuma pārvaldes vadītājs (1.§) </w:t>
      </w:r>
    </w:p>
    <w:p w14:paraId="6BDF79CD" w14:textId="77777777" w:rsidR="008231C3" w:rsidRDefault="008231C3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7750A56E" w14:textId="77777777" w:rsidR="008231C3" w:rsidRPr="00CA32D3" w:rsidRDefault="00CF4FB4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b/>
          <w:bCs/>
        </w:rPr>
        <w:t>Sēdi protokolē</w:t>
      </w:r>
      <w:r w:rsidRPr="00CA32D3">
        <w:rPr>
          <w:rFonts w:cs="Arial"/>
        </w:rPr>
        <w:t xml:space="preserve"> </w:t>
      </w:r>
      <w:r>
        <w:rPr>
          <w:rFonts w:cs="Arial"/>
          <w:b/>
        </w:rPr>
        <w:t xml:space="preserve">Egita </w:t>
      </w:r>
      <w:r w:rsidRPr="00FD0180">
        <w:rPr>
          <w:rFonts w:cs="Arial"/>
          <w:b/>
        </w:rPr>
        <w:t>Lukjanova</w:t>
      </w:r>
    </w:p>
    <w:p w14:paraId="6BE765D1" w14:textId="77777777" w:rsidR="008231C3" w:rsidRPr="00CA32D3" w:rsidRDefault="008231C3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3A02AE" w14:textId="77777777" w:rsidR="008231C3" w:rsidRPr="00CA32D3" w:rsidRDefault="00CF4FB4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A32D3">
        <w:rPr>
          <w:rFonts w:cs="Arial"/>
        </w:rPr>
        <w:t>DARBA KĀRTĪBĀ: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8038"/>
      </w:tblGrid>
      <w:tr w:rsidR="00CE2427" w14:paraId="67709BEB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59B82" w14:textId="77777777" w:rsidR="00850794" w:rsidRPr="00010772" w:rsidRDefault="00CF4FB4">
            <w:pPr>
              <w:spacing w:after="0" w:line="240" w:lineRule="auto"/>
              <w:rPr>
                <w:rFonts w:cs="Arial"/>
                <w:color w:val="000000"/>
              </w:rPr>
            </w:pPr>
            <w:r w:rsidRPr="00010772">
              <w:rPr>
                <w:rFonts w:cs="Arial"/>
                <w:color w:val="000000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BC34F" w14:textId="77777777" w:rsidR="00850794" w:rsidRPr="00010772" w:rsidRDefault="00CF4FB4">
            <w:pPr>
              <w:spacing w:after="0" w:line="240" w:lineRule="auto"/>
              <w:rPr>
                <w:rFonts w:cs="Arial"/>
                <w:color w:val="000000"/>
              </w:rPr>
            </w:pPr>
            <w:r w:rsidRPr="00010772">
              <w:rPr>
                <w:rFonts w:cs="Arial"/>
                <w:color w:val="000000"/>
              </w:rPr>
              <w:t xml:space="preserve">Par apbūves tiesības piešķiršanu zemes </w:t>
            </w:r>
            <w:r w:rsidRPr="00010772">
              <w:rPr>
                <w:rFonts w:cs="Arial"/>
                <w:color w:val="000000"/>
              </w:rPr>
              <w:t>vienībai Slimnīcas ielā 2</w:t>
            </w:r>
            <w:r w:rsidR="00010772">
              <w:rPr>
                <w:rFonts w:cs="Arial"/>
                <w:color w:val="000000"/>
              </w:rPr>
              <w:t>.</w:t>
            </w:r>
          </w:p>
        </w:tc>
      </w:tr>
    </w:tbl>
    <w:p w14:paraId="661A67A0" w14:textId="77777777" w:rsidR="008231C3" w:rsidRDefault="008231C3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E065C7D" w14:textId="77777777" w:rsidR="00850794" w:rsidRPr="00010772" w:rsidRDefault="00CF4FB4">
      <w:pPr>
        <w:spacing w:after="0" w:line="240" w:lineRule="auto"/>
        <w:jc w:val="center"/>
        <w:rPr>
          <w:rFonts w:cs="Arial"/>
        </w:rPr>
      </w:pPr>
      <w:r w:rsidRPr="00010772">
        <w:rPr>
          <w:rFonts w:cs="Arial"/>
          <w:b/>
          <w:bCs/>
        </w:rPr>
        <w:t>1.§</w:t>
      </w:r>
    </w:p>
    <w:p w14:paraId="7516E872" w14:textId="77777777" w:rsidR="00850794" w:rsidRDefault="00CF4FB4" w:rsidP="00010772">
      <w:pPr>
        <w:spacing w:after="0" w:line="240" w:lineRule="auto"/>
        <w:jc w:val="center"/>
        <w:rPr>
          <w:rFonts w:cs="Arial"/>
        </w:rPr>
      </w:pPr>
      <w:r w:rsidRPr="00010772">
        <w:rPr>
          <w:rFonts w:cs="Arial"/>
          <w:b/>
          <w:bCs/>
          <w:u w:val="single"/>
        </w:rPr>
        <w:t>Par apbūves tiesības piešķiršanu zemes vienībai Slimnīcas ielā 2</w:t>
      </w:r>
    </w:p>
    <w:p w14:paraId="0AE050BB" w14:textId="77777777" w:rsidR="00010772" w:rsidRPr="00010772" w:rsidRDefault="00010772" w:rsidP="00010772">
      <w:pPr>
        <w:spacing w:after="0" w:line="240" w:lineRule="auto"/>
        <w:jc w:val="center"/>
        <w:rPr>
          <w:rFonts w:cs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5517"/>
      </w:tblGrid>
      <w:tr w:rsidR="00CE2427" w14:paraId="55228BBD" w14:textId="77777777" w:rsidTr="007F16FD">
        <w:trPr>
          <w:tblCellSpacing w:w="15" w:type="dxa"/>
        </w:trPr>
        <w:tc>
          <w:tcPr>
            <w:tcW w:w="17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5DE63" w14:textId="77777777" w:rsidR="00850794" w:rsidRPr="00010772" w:rsidRDefault="00CF4FB4">
            <w:pPr>
              <w:spacing w:after="0" w:line="240" w:lineRule="auto"/>
              <w:rPr>
                <w:rFonts w:cs="Arial"/>
                <w:color w:val="000000"/>
              </w:rPr>
            </w:pPr>
            <w:r w:rsidRPr="00010772">
              <w:rPr>
                <w:rFonts w:cs="Arial"/>
                <w:color w:val="000000"/>
              </w:rPr>
              <w:t>Ziņo Gunārs Ansiņš:</w:t>
            </w:r>
          </w:p>
        </w:tc>
        <w:tc>
          <w:tcPr>
            <w:tcW w:w="321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B16E9B" w14:textId="77777777" w:rsidR="007F16FD" w:rsidRDefault="00CF4FB4" w:rsidP="006569E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010772">
              <w:rPr>
                <w:rFonts w:cs="Arial"/>
                <w:color w:val="000000"/>
              </w:rPr>
              <w:t xml:space="preserve">- </w:t>
            </w:r>
            <w:r w:rsidR="006569EA">
              <w:rPr>
                <w:rFonts w:cs="Arial"/>
                <w:color w:val="000000"/>
              </w:rPr>
              <w:t>Atklāj Liepājas valstspilsētas pašvaldības domes ārkārtas sēdi un i</w:t>
            </w:r>
            <w:r w:rsidRPr="00010772">
              <w:rPr>
                <w:rFonts w:cs="Arial"/>
                <w:color w:val="000000"/>
              </w:rPr>
              <w:t xml:space="preserve">nformē, ka izskatīšanai ir iesniegts lēmuma projekts, </w:t>
            </w:r>
            <w:r w:rsidR="006569EA">
              <w:rPr>
                <w:rFonts w:cs="Arial"/>
                <w:color w:val="000000"/>
              </w:rPr>
              <w:t xml:space="preserve">kas sagatavots saistībā ar </w:t>
            </w:r>
            <w:r>
              <w:rPr>
                <w:rFonts w:cs="Arial"/>
                <w:color w:val="000000"/>
              </w:rPr>
              <w:t xml:space="preserve">                            </w:t>
            </w:r>
            <w:r w:rsidR="006569EA">
              <w:rPr>
                <w:rFonts w:cs="Arial"/>
                <w:color w:val="000000"/>
              </w:rPr>
              <w:t>SIA “LIEPĀJAS ENERĢIJA” projekta pieteikum</w:t>
            </w:r>
            <w:r>
              <w:rPr>
                <w:rFonts w:cs="Arial"/>
                <w:color w:val="000000"/>
              </w:rPr>
              <w:t>u</w:t>
            </w:r>
            <w:r w:rsidR="006569E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līdz</w:t>
            </w:r>
            <w:r w:rsidR="006569EA">
              <w:rPr>
                <w:rFonts w:cs="Arial"/>
                <w:color w:val="000000"/>
              </w:rPr>
              <w:t xml:space="preserve">finansējuma saņemšanai no Eiropas Savienības fondu programmām, kur viens no nosacījumiem ir zemes nomas </w:t>
            </w:r>
            <w:r>
              <w:rPr>
                <w:rFonts w:cs="Arial"/>
                <w:color w:val="000000"/>
              </w:rPr>
              <w:t xml:space="preserve">apbūves </w:t>
            </w:r>
            <w:r w:rsidR="006569EA">
              <w:rPr>
                <w:rFonts w:cs="Arial"/>
                <w:color w:val="000000"/>
              </w:rPr>
              <w:t xml:space="preserve">tiesības. </w:t>
            </w:r>
          </w:p>
          <w:p w14:paraId="1DED06B4" w14:textId="77777777" w:rsidR="00850794" w:rsidRDefault="00CF4FB4" w:rsidP="006569E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="006569EA">
              <w:rPr>
                <w:rFonts w:cs="Arial"/>
                <w:color w:val="000000"/>
              </w:rPr>
              <w:t>Dod vārdu ziņojumam Mārim Egmanim.</w:t>
            </w:r>
          </w:p>
          <w:p w14:paraId="2926EB6D" w14:textId="77777777" w:rsidR="006569EA" w:rsidRPr="006569EA" w:rsidRDefault="006569EA" w:rsidP="006569EA">
            <w:pPr>
              <w:spacing w:after="0" w:line="240" w:lineRule="auto"/>
              <w:jc w:val="both"/>
              <w:rPr>
                <w:rFonts w:cs="Arial"/>
                <w:color w:val="000000"/>
                <w:sz w:val="6"/>
              </w:rPr>
            </w:pPr>
          </w:p>
        </w:tc>
      </w:tr>
      <w:tr w:rsidR="00CE2427" w14:paraId="20B2AA10" w14:textId="77777777" w:rsidTr="007F16FD">
        <w:trPr>
          <w:tblCellSpacing w:w="15" w:type="dxa"/>
        </w:trPr>
        <w:tc>
          <w:tcPr>
            <w:tcW w:w="173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7B504" w14:textId="77777777" w:rsidR="00010772" w:rsidRPr="00010772" w:rsidRDefault="00CF4FB4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Māris Egmanis:</w:t>
            </w:r>
          </w:p>
        </w:tc>
        <w:tc>
          <w:tcPr>
            <w:tcW w:w="32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82EC0" w14:textId="77777777" w:rsidR="007F16FD" w:rsidRDefault="00CF4FB4" w:rsidP="007F16FD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Informē, ka ir sagatavots lēmuma projekts, kurā paredzēts piešķirt </w:t>
            </w:r>
            <w:r w:rsidRPr="006569EA">
              <w:rPr>
                <w:rFonts w:cs="Arial"/>
                <w:color w:val="000000"/>
              </w:rPr>
              <w:t>SIA "LIEPĀJAS ENERĢIJA" apbūves tiesību uz 30 gadiem zemes vien</w:t>
            </w:r>
            <w:r>
              <w:rPr>
                <w:rFonts w:cs="Arial"/>
                <w:color w:val="000000"/>
              </w:rPr>
              <w:t xml:space="preserve">ībai Slimnīcas ielā 2 </w:t>
            </w:r>
            <w:r w:rsidRPr="006569EA">
              <w:rPr>
                <w:rFonts w:cs="Arial"/>
                <w:color w:val="000000"/>
              </w:rPr>
              <w:t xml:space="preserve">katlu mājas un </w:t>
            </w:r>
            <w:r w:rsidRPr="006569EA">
              <w:rPr>
                <w:rFonts w:cs="Arial"/>
                <w:color w:val="000000"/>
              </w:rPr>
              <w:t>šķeldas noliktavas izbūvei.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2EB63C7D" w14:textId="77777777" w:rsidR="00010772" w:rsidRDefault="00CF4FB4" w:rsidP="007F16FD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Lūdz atbalstīt sagatavoto lēmuma projektu.</w:t>
            </w:r>
          </w:p>
          <w:p w14:paraId="203B5EDB" w14:textId="77777777" w:rsidR="007F16FD" w:rsidRPr="007F16FD" w:rsidRDefault="007F16FD" w:rsidP="007F16FD">
            <w:pPr>
              <w:spacing w:after="0" w:line="240" w:lineRule="auto"/>
              <w:jc w:val="both"/>
              <w:rPr>
                <w:rFonts w:cs="Arial"/>
                <w:color w:val="000000"/>
                <w:sz w:val="6"/>
              </w:rPr>
            </w:pPr>
          </w:p>
        </w:tc>
      </w:tr>
      <w:tr w:rsidR="00CE2427" w14:paraId="48D48824" w14:textId="77777777" w:rsidTr="007F16FD">
        <w:trPr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2EBA0" w14:textId="77777777" w:rsidR="007F16FD" w:rsidRDefault="00CF4FB4" w:rsidP="00010772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Jautājuma par apbūves tiesības termiņu apspriešanā piedalās Uldis Lipskis un Māris Egmanis.</w:t>
            </w:r>
          </w:p>
          <w:p w14:paraId="19861B5D" w14:textId="77777777" w:rsidR="007F16FD" w:rsidRPr="007F16FD" w:rsidRDefault="007F16FD" w:rsidP="00010772">
            <w:pPr>
              <w:spacing w:after="0" w:line="240" w:lineRule="auto"/>
              <w:jc w:val="both"/>
              <w:rPr>
                <w:rFonts w:cs="Arial"/>
                <w:color w:val="000000"/>
                <w:sz w:val="6"/>
              </w:rPr>
            </w:pPr>
          </w:p>
        </w:tc>
      </w:tr>
      <w:tr w:rsidR="00CE2427" w14:paraId="54331652" w14:textId="77777777" w:rsidTr="007F16FD">
        <w:trPr>
          <w:tblCellSpacing w:w="15" w:type="dxa"/>
        </w:trPr>
        <w:tc>
          <w:tcPr>
            <w:tcW w:w="173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7ABC1" w14:textId="77777777" w:rsidR="00850794" w:rsidRPr="007F16FD" w:rsidRDefault="00CF4FB4" w:rsidP="007F16FD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7F16FD">
              <w:rPr>
                <w:rFonts w:cs="Arial"/>
                <w:bCs/>
                <w:color w:val="000000"/>
              </w:rPr>
              <w:t>Helvijs Valcis:</w:t>
            </w:r>
          </w:p>
        </w:tc>
        <w:tc>
          <w:tcPr>
            <w:tcW w:w="32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4BEAA" w14:textId="77777777" w:rsidR="007F16FD" w:rsidRPr="007F16FD" w:rsidRDefault="00CF4FB4" w:rsidP="007F16FD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F16FD">
              <w:rPr>
                <w:rFonts w:cs="Arial"/>
                <w:bCs/>
                <w:color w:val="000000"/>
              </w:rPr>
              <w:t>-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7F16FD">
              <w:rPr>
                <w:rFonts w:cs="Arial"/>
                <w:bCs/>
                <w:color w:val="000000"/>
              </w:rPr>
              <w:t xml:space="preserve">Informē, ka tehnisku problēmu dēļ nevar nobalsot </w:t>
            </w:r>
            <w:r w:rsidRPr="007F16FD">
              <w:rPr>
                <w:rFonts w:cs="Arial"/>
                <w:color w:val="000000"/>
              </w:rPr>
              <w:t>lietvedības programmā, bet balso “par” sagatavoto lēmuma projektu.</w:t>
            </w:r>
          </w:p>
          <w:p w14:paraId="6F135865" w14:textId="77777777" w:rsidR="00850794" w:rsidRPr="007F16FD" w:rsidRDefault="00850794" w:rsidP="00010772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6"/>
              </w:rPr>
            </w:pPr>
          </w:p>
        </w:tc>
      </w:tr>
      <w:tr w:rsidR="00CE2427" w14:paraId="624C617C" w14:textId="77777777" w:rsidTr="007F16FD">
        <w:trPr>
          <w:tblCellSpacing w:w="15" w:type="dxa"/>
        </w:trPr>
        <w:tc>
          <w:tcPr>
            <w:tcW w:w="173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C3CE7" w14:textId="77777777" w:rsidR="007F16FD" w:rsidRPr="00010772" w:rsidRDefault="00CF4FB4" w:rsidP="007F16FD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010772">
              <w:rPr>
                <w:rFonts w:cs="Arial"/>
                <w:b/>
                <w:bCs/>
                <w:color w:val="000000"/>
              </w:rPr>
              <w:t xml:space="preserve">Par lēmumu balso: "par"  - </w:t>
            </w:r>
          </w:p>
        </w:tc>
        <w:tc>
          <w:tcPr>
            <w:tcW w:w="32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94015" w14:textId="77777777" w:rsidR="007F16FD" w:rsidRPr="00010772" w:rsidRDefault="00CF4FB4" w:rsidP="007F16FD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010772">
              <w:rPr>
                <w:rFonts w:cs="Arial"/>
                <w:b/>
                <w:bCs/>
                <w:color w:val="000000"/>
              </w:rPr>
              <w:t xml:space="preserve">15 (Gunārs Ansiņš, Dace Bluķe, Atis Deksnis, Helēna Geriloviča, Uldis Hmieļevskis, Uldis Lipskis, Linda Matisone, Agris Mertens, Ludmila Rjazanova, Uldis Sesks, Edvīns Striks, Modris Šveiduks, Helvijs Valcis, Jānis </w:t>
            </w:r>
            <w:r w:rsidRPr="00010772">
              <w:rPr>
                <w:rFonts w:cs="Arial"/>
                <w:b/>
                <w:bCs/>
                <w:color w:val="000000"/>
              </w:rPr>
              <w:t>Vilnītis, Vilnis Vitkovskis)</w:t>
            </w:r>
          </w:p>
        </w:tc>
      </w:tr>
      <w:tr w:rsidR="00CE2427" w14:paraId="0AC4DEE5" w14:textId="77777777" w:rsidTr="007F16FD">
        <w:trPr>
          <w:tblCellSpacing w:w="15" w:type="dxa"/>
        </w:trPr>
        <w:tc>
          <w:tcPr>
            <w:tcW w:w="17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44B5A1" w14:textId="77777777" w:rsidR="007F16FD" w:rsidRPr="00010772" w:rsidRDefault="00CF4FB4" w:rsidP="007F16FD">
            <w:pPr>
              <w:spacing w:after="120" w:line="240" w:lineRule="auto"/>
              <w:rPr>
                <w:rFonts w:cs="Arial"/>
                <w:b/>
                <w:bCs/>
                <w:color w:val="000000"/>
              </w:rPr>
            </w:pPr>
            <w:r w:rsidRPr="00010772">
              <w:rPr>
                <w:rFonts w:cs="Arial"/>
                <w:b/>
                <w:bCs/>
                <w:color w:val="000000"/>
              </w:rPr>
              <w:t xml:space="preserve">"pret" - </w:t>
            </w:r>
          </w:p>
        </w:tc>
        <w:tc>
          <w:tcPr>
            <w:tcW w:w="32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8A454" w14:textId="77777777" w:rsidR="007F16FD" w:rsidRPr="00010772" w:rsidRDefault="00CF4FB4" w:rsidP="007F16FD">
            <w:pPr>
              <w:spacing w:after="12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010772">
              <w:rPr>
                <w:rFonts w:cs="Arial"/>
                <w:b/>
                <w:bCs/>
                <w:color w:val="000000"/>
              </w:rPr>
              <w:t>nav</w:t>
            </w:r>
          </w:p>
        </w:tc>
      </w:tr>
      <w:tr w:rsidR="00CE2427" w14:paraId="6161C3FE" w14:textId="77777777" w:rsidTr="007F16FD">
        <w:trPr>
          <w:tblCellSpacing w:w="15" w:type="dxa"/>
        </w:trPr>
        <w:tc>
          <w:tcPr>
            <w:tcW w:w="17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A7A965" w14:textId="77777777" w:rsidR="007F16FD" w:rsidRPr="00010772" w:rsidRDefault="00CF4FB4" w:rsidP="007F16FD">
            <w:pPr>
              <w:spacing w:after="120" w:line="240" w:lineRule="auto"/>
              <w:rPr>
                <w:rFonts w:cs="Arial"/>
                <w:b/>
                <w:bCs/>
                <w:color w:val="000000"/>
              </w:rPr>
            </w:pPr>
            <w:r w:rsidRPr="00010772">
              <w:rPr>
                <w:rFonts w:cs="Arial"/>
                <w:b/>
                <w:bCs/>
                <w:color w:val="000000"/>
              </w:rPr>
              <w:t xml:space="preserve">"atturas" - </w:t>
            </w:r>
          </w:p>
        </w:tc>
        <w:tc>
          <w:tcPr>
            <w:tcW w:w="32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A55FD" w14:textId="77777777" w:rsidR="007F16FD" w:rsidRPr="00010772" w:rsidRDefault="00CF4FB4" w:rsidP="007F16FD">
            <w:pPr>
              <w:spacing w:after="12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010772">
              <w:rPr>
                <w:rFonts w:cs="Arial"/>
                <w:b/>
                <w:bCs/>
                <w:color w:val="000000"/>
              </w:rPr>
              <w:t>nav</w:t>
            </w:r>
          </w:p>
        </w:tc>
      </w:tr>
      <w:tr w:rsidR="00CE2427" w14:paraId="2F5A180E" w14:textId="77777777" w:rsidTr="007F16FD">
        <w:trPr>
          <w:tblCellSpacing w:w="15" w:type="dxa"/>
        </w:trPr>
        <w:tc>
          <w:tcPr>
            <w:tcW w:w="17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8D57D" w14:textId="77777777" w:rsidR="007F16FD" w:rsidRPr="00010772" w:rsidRDefault="00CF4FB4" w:rsidP="007F16FD">
            <w:pPr>
              <w:spacing w:after="120" w:line="240" w:lineRule="auto"/>
              <w:rPr>
                <w:rFonts w:cs="Arial"/>
                <w:b/>
                <w:bCs/>
                <w:color w:val="000000"/>
              </w:rPr>
            </w:pPr>
            <w:r w:rsidRPr="00010772">
              <w:rPr>
                <w:rFonts w:cs="Arial"/>
                <w:b/>
                <w:bCs/>
                <w:color w:val="000000"/>
              </w:rPr>
              <w:t xml:space="preserve">"nepiedalās" - </w:t>
            </w:r>
          </w:p>
        </w:tc>
        <w:tc>
          <w:tcPr>
            <w:tcW w:w="32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32408" w14:textId="77777777" w:rsidR="007F16FD" w:rsidRPr="00010772" w:rsidRDefault="00CF4FB4" w:rsidP="007F16FD">
            <w:pPr>
              <w:spacing w:after="12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010772">
              <w:rPr>
                <w:rFonts w:cs="Arial"/>
                <w:b/>
                <w:bCs/>
                <w:color w:val="000000"/>
              </w:rPr>
              <w:t>nav</w:t>
            </w:r>
          </w:p>
        </w:tc>
      </w:tr>
      <w:tr w:rsidR="00CE2427" w14:paraId="1F5DBFD0" w14:textId="77777777" w:rsidTr="007F16FD">
        <w:trPr>
          <w:tblCellSpacing w:w="15" w:type="dxa"/>
        </w:trPr>
        <w:tc>
          <w:tcPr>
            <w:tcW w:w="17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9A010" w14:textId="77777777" w:rsidR="007F16FD" w:rsidRPr="00010772" w:rsidRDefault="00CF4FB4" w:rsidP="007F16FD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010772">
              <w:rPr>
                <w:rFonts w:cs="Arial"/>
                <w:b/>
                <w:bCs/>
                <w:color w:val="000000"/>
              </w:rPr>
              <w:t>Nolemj:</w:t>
            </w:r>
          </w:p>
        </w:tc>
        <w:tc>
          <w:tcPr>
            <w:tcW w:w="32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E4A86" w14:textId="77777777" w:rsidR="007F16FD" w:rsidRPr="00010772" w:rsidRDefault="00CF4FB4" w:rsidP="007F16FD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  Pieņemt lēmumu Nr.</w:t>
            </w:r>
            <w:r w:rsidRPr="00010772">
              <w:rPr>
                <w:rFonts w:cs="Arial"/>
                <w:b/>
                <w:bCs/>
                <w:color w:val="000000"/>
              </w:rPr>
              <w:t>169/8 "Par apbūves tiesības piešķiršanu zemes vienībai Slimnīcas ielā 2"</w:t>
            </w:r>
            <w:r>
              <w:rPr>
                <w:rFonts w:cs="Arial"/>
                <w:b/>
                <w:bCs/>
                <w:color w:val="000000"/>
              </w:rPr>
              <w:t>.</w:t>
            </w:r>
          </w:p>
        </w:tc>
      </w:tr>
    </w:tbl>
    <w:p w14:paraId="6A944CD3" w14:textId="77777777" w:rsidR="008231C3" w:rsidRPr="00CA32D3" w:rsidRDefault="00CF4FB4" w:rsidP="007F16FD">
      <w:pPr>
        <w:spacing w:after="0" w:line="240" w:lineRule="auto"/>
        <w:rPr>
          <w:rFonts w:cs="Arial"/>
        </w:rPr>
      </w:pPr>
      <w:r w:rsidRPr="00010772">
        <w:rPr>
          <w:rFonts w:cs="Arial"/>
        </w:rPr>
        <w:br/>
      </w:r>
      <w:r w:rsidRPr="00CA32D3">
        <w:rPr>
          <w:rFonts w:cs="Arial"/>
          <w:b/>
          <w:bCs/>
        </w:rPr>
        <w:t>Sēde slēgta</w:t>
      </w:r>
      <w:r w:rsidRPr="00CA32D3">
        <w:rPr>
          <w:rFonts w:cs="Arial"/>
        </w:rPr>
        <w:t xml:space="preserve"> </w:t>
      </w:r>
      <w:r w:rsidRPr="00EE2C63">
        <w:rPr>
          <w:rFonts w:cs="Arial"/>
        </w:rPr>
        <w:t>2022.gada 12.maijā pulksten 15:35.</w:t>
      </w:r>
    </w:p>
    <w:p w14:paraId="565438AE" w14:textId="77777777" w:rsidR="008231C3" w:rsidRDefault="008231C3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80F58FA" w14:textId="77777777" w:rsidR="008231C3" w:rsidRPr="00CA32D3" w:rsidRDefault="008231C3" w:rsidP="008231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FD572FE" w14:textId="77777777" w:rsidR="008231C3" w:rsidRDefault="00CF4FB4" w:rsidP="008628B1">
      <w:pPr>
        <w:jc w:val="both"/>
        <w:rPr>
          <w:rFonts w:cs="Arial"/>
        </w:rPr>
      </w:pPr>
      <w:r>
        <w:t>Priekšsēdētājs</w:t>
      </w:r>
      <w:r w:rsidRPr="00307BB5">
        <w:rPr>
          <w:rFonts w:cs="Arial"/>
        </w:rPr>
        <w:tab/>
      </w:r>
      <w:r w:rsidRPr="00307BB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628B1">
        <w:rPr>
          <w:rFonts w:cs="Arial"/>
        </w:rPr>
        <w:t xml:space="preserve">        </w:t>
      </w:r>
      <w:r>
        <w:rPr>
          <w:rFonts w:cs="Arial"/>
        </w:rPr>
        <w:t>Gunārs Ansiņš</w:t>
      </w:r>
      <w:r w:rsidR="007F16FD">
        <w:rPr>
          <w:rFonts w:cs="Arial"/>
        </w:rPr>
        <w:t xml:space="preserve"> (</w:t>
      </w:r>
      <w:r w:rsidR="008628B1">
        <w:rPr>
          <w:rFonts w:cs="Arial"/>
        </w:rPr>
        <w:t>13.05.2022.)</w:t>
      </w:r>
    </w:p>
    <w:p w14:paraId="3AA963FF" w14:textId="77777777" w:rsidR="008628B1" w:rsidRPr="00307BB5" w:rsidRDefault="008628B1" w:rsidP="008628B1">
      <w:pPr>
        <w:jc w:val="both"/>
        <w:rPr>
          <w:rFonts w:cs="Arial"/>
        </w:rPr>
      </w:pPr>
    </w:p>
    <w:p w14:paraId="0F6E12DE" w14:textId="77777777" w:rsidR="00887E07" w:rsidRPr="008231C3" w:rsidRDefault="00CF4FB4" w:rsidP="002D7B3A">
      <w:r>
        <w:rPr>
          <w:rFonts w:cs="Arial"/>
        </w:rPr>
        <w:t>Protokolēja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628B1">
        <w:rPr>
          <w:rFonts w:cs="Arial"/>
        </w:rPr>
        <w:t xml:space="preserve">        </w:t>
      </w:r>
      <w:r w:rsidR="002D7B3A">
        <w:rPr>
          <w:rFonts w:cs="Arial"/>
        </w:rPr>
        <w:t>Egita Lukjanova</w:t>
      </w:r>
      <w:r w:rsidR="008628B1">
        <w:rPr>
          <w:rFonts w:cs="Arial"/>
        </w:rPr>
        <w:t xml:space="preserve"> </w:t>
      </w:r>
      <w:r w:rsidR="008628B1" w:rsidRPr="008628B1">
        <w:rPr>
          <w:rFonts w:cs="Arial"/>
        </w:rPr>
        <w:t>(13.05.2022.)</w:t>
      </w:r>
    </w:p>
    <w:sectPr w:rsidR="00887E07" w:rsidRPr="008231C3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8E84" w14:textId="77777777" w:rsidR="00CF4FB4" w:rsidRDefault="00CF4FB4">
      <w:pPr>
        <w:spacing w:after="0" w:line="240" w:lineRule="auto"/>
      </w:pPr>
      <w:r>
        <w:separator/>
      </w:r>
    </w:p>
  </w:endnote>
  <w:endnote w:type="continuationSeparator" w:id="0">
    <w:p w14:paraId="64A7513F" w14:textId="77777777" w:rsidR="00CF4FB4" w:rsidRDefault="00CF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0870" w14:textId="77777777" w:rsidR="00BE4BCB" w:rsidRDefault="00BE4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4AB5" w14:textId="77777777" w:rsidR="00E90D4C" w:rsidRPr="00765476" w:rsidRDefault="00E90D4C" w:rsidP="006E5122">
    <w:pPr>
      <w:pStyle w:val="Footer"/>
      <w:jc w:val="both"/>
    </w:pPr>
  </w:p>
  <w:p w14:paraId="2BA8CE7B" w14:textId="77777777" w:rsidR="00CE2427" w:rsidRDefault="00CF4FB4">
    <w:r>
      <w:t xml:space="preserve">          </w:t>
    </w:r>
    <w: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9F0F" w14:textId="77777777" w:rsidR="00BE4BCB" w:rsidRDefault="00BE4BCB">
    <w:pPr>
      <w:pStyle w:val="Footer"/>
    </w:pPr>
  </w:p>
  <w:p w14:paraId="5ED6E354" w14:textId="77777777" w:rsidR="00CE2427" w:rsidRDefault="00CF4FB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4DFF" w14:textId="77777777" w:rsidR="00CF4FB4" w:rsidRDefault="00CF4FB4">
      <w:pPr>
        <w:spacing w:after="0" w:line="240" w:lineRule="auto"/>
      </w:pPr>
      <w:r>
        <w:separator/>
      </w:r>
    </w:p>
  </w:footnote>
  <w:footnote w:type="continuationSeparator" w:id="0">
    <w:p w14:paraId="69D2846C" w14:textId="77777777" w:rsidR="00CF4FB4" w:rsidRDefault="00CF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7EA8" w14:textId="77777777" w:rsidR="00BE4BCB" w:rsidRDefault="00BE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0D19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CC5A" w14:textId="77777777" w:rsidR="00EB209C" w:rsidRPr="00AE2B38" w:rsidRDefault="00CF4FB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B7CCC2E" wp14:editId="0DB1E1A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09501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57215" w14:textId="77777777" w:rsidR="00EB209C" w:rsidRPr="00356E0F" w:rsidRDefault="00CF4FB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</w:t>
    </w:r>
    <w:r w:rsidR="00BE4BCB">
      <w:rPr>
        <w:rFonts w:ascii="Arial" w:hAnsi="Arial" w:cs="Arial"/>
        <w:b/>
      </w:rPr>
      <w:t>valsts</w:t>
    </w:r>
    <w:r w:rsidR="00356E0F">
      <w:rPr>
        <w:rFonts w:ascii="Arial" w:hAnsi="Arial" w:cs="Arial"/>
        <w:b/>
      </w:rPr>
      <w:t xml:space="preserve">pilsētas </w:t>
    </w:r>
    <w:r w:rsidR="00BE4BCB">
      <w:rPr>
        <w:rFonts w:ascii="Arial" w:hAnsi="Arial" w:cs="Arial"/>
        <w:b/>
      </w:rPr>
      <w:t xml:space="preserve">pašvaldības </w:t>
    </w:r>
    <w:r w:rsidR="00175BFA">
      <w:rPr>
        <w:rFonts w:ascii="Arial" w:hAnsi="Arial" w:cs="Arial"/>
        <w:b/>
      </w:rPr>
      <w:t>dome</w:t>
    </w:r>
  </w:p>
  <w:p w14:paraId="2C968438" w14:textId="77777777" w:rsidR="00607627" w:rsidRPr="00AE2B38" w:rsidRDefault="00CF4FB4" w:rsidP="008231C3">
    <w:pPr>
      <w:pStyle w:val="Header"/>
      <w:tabs>
        <w:tab w:val="clear" w:pos="8306"/>
      </w:tabs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8231C3">
      <w:rPr>
        <w:rFonts w:ascii="Arial" w:hAnsi="Arial" w:cs="Arial"/>
        <w:sz w:val="16"/>
        <w:szCs w:val="16"/>
      </w:rPr>
      <w:t>, www.liepaja.lv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6BC8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83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A9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CD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08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4A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2F2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25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E98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6C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60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81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6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49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69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3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CD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230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2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48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6F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6A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A4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0B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41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AF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04CC07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EE26F4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5A4704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3203D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CD8ADB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F14B89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440775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7ECA8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494317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908F19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7485B9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9AC7DE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30A33C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0B88F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376CA1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ADC28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5783F3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0D8E35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AD46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964F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BE34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948E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D7EEF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F8E57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EB5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725D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C262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0DA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22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AE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43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6A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E0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EA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0D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5E46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43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0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E2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AD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05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4E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EA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62CA6"/>
    <w:multiLevelType w:val="hybridMultilevel"/>
    <w:tmpl w:val="5658FE6E"/>
    <w:lvl w:ilvl="0" w:tplc="86A01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D49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A3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CB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C1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40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61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AB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F482BE7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45CD66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28CEC9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F44D19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082C01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E3282C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6F25B1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B5603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20813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941454243">
    <w:abstractNumId w:val="7"/>
  </w:num>
  <w:num w:numId="2" w16cid:durableId="1151095362">
    <w:abstractNumId w:val="8"/>
  </w:num>
  <w:num w:numId="3" w16cid:durableId="159780479">
    <w:abstractNumId w:val="0"/>
  </w:num>
  <w:num w:numId="4" w16cid:durableId="42100887">
    <w:abstractNumId w:val="1"/>
  </w:num>
  <w:num w:numId="5" w16cid:durableId="2142576129">
    <w:abstractNumId w:val="2"/>
  </w:num>
  <w:num w:numId="6" w16cid:durableId="1463231894">
    <w:abstractNumId w:val="6"/>
  </w:num>
  <w:num w:numId="7" w16cid:durableId="1074281259">
    <w:abstractNumId w:val="3"/>
  </w:num>
  <w:num w:numId="8" w16cid:durableId="1455178136">
    <w:abstractNumId w:val="10"/>
  </w:num>
  <w:num w:numId="9" w16cid:durableId="801582198">
    <w:abstractNumId w:val="5"/>
  </w:num>
  <w:num w:numId="10" w16cid:durableId="1163206316">
    <w:abstractNumId w:val="4"/>
  </w:num>
  <w:num w:numId="11" w16cid:durableId="2073961341">
    <w:abstractNumId w:val="10"/>
  </w:num>
  <w:num w:numId="12" w16cid:durableId="1750350808">
    <w:abstractNumId w:val="5"/>
  </w:num>
  <w:num w:numId="13" w16cid:durableId="1549300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0772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7C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2483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D7B3A"/>
    <w:rsid w:val="002E1235"/>
    <w:rsid w:val="002F47DA"/>
    <w:rsid w:val="002F63C1"/>
    <w:rsid w:val="002F78D4"/>
    <w:rsid w:val="00302A1F"/>
    <w:rsid w:val="00303760"/>
    <w:rsid w:val="00304E53"/>
    <w:rsid w:val="003051CA"/>
    <w:rsid w:val="00307BB5"/>
    <w:rsid w:val="00310D7B"/>
    <w:rsid w:val="00317160"/>
    <w:rsid w:val="0033228A"/>
    <w:rsid w:val="00335FE5"/>
    <w:rsid w:val="00336E01"/>
    <w:rsid w:val="0033774C"/>
    <w:rsid w:val="00337C9D"/>
    <w:rsid w:val="003418D6"/>
    <w:rsid w:val="00345984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100E"/>
    <w:rsid w:val="003C3979"/>
    <w:rsid w:val="003E185F"/>
    <w:rsid w:val="003E7CF4"/>
    <w:rsid w:val="003F68B7"/>
    <w:rsid w:val="003F70F4"/>
    <w:rsid w:val="003F7D8B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04A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5294"/>
    <w:rsid w:val="005460C4"/>
    <w:rsid w:val="00546419"/>
    <w:rsid w:val="0055068B"/>
    <w:rsid w:val="00553AE3"/>
    <w:rsid w:val="00562702"/>
    <w:rsid w:val="00563D75"/>
    <w:rsid w:val="0056464C"/>
    <w:rsid w:val="00564F34"/>
    <w:rsid w:val="00570F86"/>
    <w:rsid w:val="005810C2"/>
    <w:rsid w:val="005A0117"/>
    <w:rsid w:val="005A2099"/>
    <w:rsid w:val="005B33BE"/>
    <w:rsid w:val="005B5B18"/>
    <w:rsid w:val="005C0CFF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69EA"/>
    <w:rsid w:val="0066129B"/>
    <w:rsid w:val="00661339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300A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6FD"/>
    <w:rsid w:val="007F17A7"/>
    <w:rsid w:val="008008CD"/>
    <w:rsid w:val="00802ABB"/>
    <w:rsid w:val="00805589"/>
    <w:rsid w:val="00814145"/>
    <w:rsid w:val="00814871"/>
    <w:rsid w:val="00820B2D"/>
    <w:rsid w:val="008231C3"/>
    <w:rsid w:val="00823D06"/>
    <w:rsid w:val="0083083F"/>
    <w:rsid w:val="00842C2C"/>
    <w:rsid w:val="00844638"/>
    <w:rsid w:val="00845A19"/>
    <w:rsid w:val="00847485"/>
    <w:rsid w:val="00850794"/>
    <w:rsid w:val="00854856"/>
    <w:rsid w:val="00856B89"/>
    <w:rsid w:val="008628B1"/>
    <w:rsid w:val="00863A03"/>
    <w:rsid w:val="00864702"/>
    <w:rsid w:val="00876669"/>
    <w:rsid w:val="00887E07"/>
    <w:rsid w:val="008928FB"/>
    <w:rsid w:val="00896E7E"/>
    <w:rsid w:val="008B10F6"/>
    <w:rsid w:val="008B4511"/>
    <w:rsid w:val="008D7F42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259B1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1043"/>
    <w:rsid w:val="009641AD"/>
    <w:rsid w:val="00965736"/>
    <w:rsid w:val="00976EA3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6F30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07D7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1844"/>
    <w:rsid w:val="00BC21E9"/>
    <w:rsid w:val="00BD56A5"/>
    <w:rsid w:val="00BD72FA"/>
    <w:rsid w:val="00BE4BCB"/>
    <w:rsid w:val="00BE5541"/>
    <w:rsid w:val="00BE6206"/>
    <w:rsid w:val="00BE7219"/>
    <w:rsid w:val="00BF5887"/>
    <w:rsid w:val="00BF6D66"/>
    <w:rsid w:val="00C02AC6"/>
    <w:rsid w:val="00C02B03"/>
    <w:rsid w:val="00C1166A"/>
    <w:rsid w:val="00C26F1E"/>
    <w:rsid w:val="00C30662"/>
    <w:rsid w:val="00C313D8"/>
    <w:rsid w:val="00C3622A"/>
    <w:rsid w:val="00C42A17"/>
    <w:rsid w:val="00C446CD"/>
    <w:rsid w:val="00C45324"/>
    <w:rsid w:val="00C47273"/>
    <w:rsid w:val="00C47E80"/>
    <w:rsid w:val="00C6394C"/>
    <w:rsid w:val="00C72644"/>
    <w:rsid w:val="00C81D0A"/>
    <w:rsid w:val="00C923A7"/>
    <w:rsid w:val="00C96EE9"/>
    <w:rsid w:val="00CA1250"/>
    <w:rsid w:val="00CA2BE6"/>
    <w:rsid w:val="00CA32D3"/>
    <w:rsid w:val="00CA3645"/>
    <w:rsid w:val="00CA4BAD"/>
    <w:rsid w:val="00CA70B1"/>
    <w:rsid w:val="00CB5BC4"/>
    <w:rsid w:val="00CB7C80"/>
    <w:rsid w:val="00CC62FC"/>
    <w:rsid w:val="00CD1907"/>
    <w:rsid w:val="00CE2427"/>
    <w:rsid w:val="00CE38D6"/>
    <w:rsid w:val="00CE58FC"/>
    <w:rsid w:val="00CE7E57"/>
    <w:rsid w:val="00CF2F6F"/>
    <w:rsid w:val="00CF4FB4"/>
    <w:rsid w:val="00CF74E4"/>
    <w:rsid w:val="00CF7675"/>
    <w:rsid w:val="00D03C2E"/>
    <w:rsid w:val="00D1697F"/>
    <w:rsid w:val="00D236C4"/>
    <w:rsid w:val="00D25DF2"/>
    <w:rsid w:val="00D436CA"/>
    <w:rsid w:val="00D52041"/>
    <w:rsid w:val="00D60CB2"/>
    <w:rsid w:val="00D74C7C"/>
    <w:rsid w:val="00D7566E"/>
    <w:rsid w:val="00D85128"/>
    <w:rsid w:val="00D8526D"/>
    <w:rsid w:val="00D95963"/>
    <w:rsid w:val="00DB58CA"/>
    <w:rsid w:val="00DC37D9"/>
    <w:rsid w:val="00DC646E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67994"/>
    <w:rsid w:val="00E726D2"/>
    <w:rsid w:val="00E74F0E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2C63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B0116"/>
    <w:rsid w:val="00FC3D64"/>
    <w:rsid w:val="00FD0180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8A32"/>
  <w15:chartTrackingRefBased/>
  <w15:docId w15:val="{BFF38432-B162-46E7-BB8F-AEB1B22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C3"/>
    <w:pPr>
      <w:spacing w:after="160" w:line="259" w:lineRule="auto"/>
    </w:pPr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A172-2382-42CE-90B5-56FBDC59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2022-05-13T07:36:00Z</dcterms:created>
  <dcterms:modified xsi:type="dcterms:W3CDTF">2022-05-13T07:36:00Z</dcterms:modified>
</cp:coreProperties>
</file>