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404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B628A74" w14:textId="77777777" w:rsidR="00607627" w:rsidRPr="00607627" w:rsidRDefault="005D55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E6679DA" w14:textId="77777777" w:rsidR="00607627" w:rsidRPr="00607627" w:rsidRDefault="005D55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C5D87D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CC6A03" w14:paraId="02862EE0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B306526" w14:textId="77777777" w:rsidR="00E71C29" w:rsidRPr="00393422" w:rsidRDefault="005D55E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AA51EF8" w14:textId="77777777" w:rsidR="00E71C29" w:rsidRDefault="005D55E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373/12</w:t>
            </w:r>
          </w:p>
          <w:p w14:paraId="2BA20AD4" w14:textId="77777777" w:rsidR="00E71C29" w:rsidRPr="00393422" w:rsidRDefault="005D55E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E1793">
              <w:rPr>
                <w:rFonts w:cs="Arial"/>
                <w:color w:val="000000"/>
                <w:szCs w:val="22"/>
              </w:rPr>
              <w:t>(prot. Nr.12, 2.</w:t>
            </w:r>
            <w:r w:rsidRPr="00DE179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0C1024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3780E211" w14:textId="77777777" w:rsidR="00DE1793" w:rsidRPr="00DE1793" w:rsidRDefault="005D55E7" w:rsidP="00DE17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E1793">
        <w:rPr>
          <w:rFonts w:cs="Arial"/>
          <w:szCs w:val="22"/>
        </w:rPr>
        <w:t xml:space="preserve">Par grozījumiem SIA “Liepājas latviešu </w:t>
      </w:r>
    </w:p>
    <w:p w14:paraId="666D7E37" w14:textId="77777777" w:rsidR="00DE1793" w:rsidRPr="00DE1793" w:rsidRDefault="005D55E7" w:rsidP="00DE17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E1793">
        <w:rPr>
          <w:rFonts w:cs="Arial"/>
          <w:szCs w:val="22"/>
        </w:rPr>
        <w:t>biedrības nams” nomas maksas cenrādī</w:t>
      </w:r>
    </w:p>
    <w:p w14:paraId="118FEE3B" w14:textId="77777777" w:rsidR="00DE1793" w:rsidRPr="00DE1793" w:rsidRDefault="00DE1793" w:rsidP="00DE1793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9B316A3" w14:textId="77777777" w:rsidR="00DE1793" w:rsidRPr="00DE1793" w:rsidRDefault="00DE1793" w:rsidP="00DE17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7856D0" w14:textId="77777777" w:rsidR="00DE1793" w:rsidRPr="00DE1793" w:rsidRDefault="005D55E7" w:rsidP="00DE179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E1793">
        <w:rPr>
          <w:rFonts w:cs="Arial"/>
          <w:szCs w:val="22"/>
        </w:rPr>
        <w:t xml:space="preserve">Pamatojoties uz likuma “Par pašvaldībām” 14.panta otrās daļas </w:t>
      </w:r>
      <w:r w:rsidRPr="00DE1793">
        <w:rPr>
          <w:rFonts w:cs="Arial"/>
          <w:szCs w:val="22"/>
        </w:rPr>
        <w:t>3.punktu, 21.panta pirmās daļas 14.punkta a) apakšpunktu, Publiskas personas finanšu līdzekļu un mantas izšķērdēšanas novēršanas likuma 3.pantu un 6.</w:t>
      </w:r>
      <w:r w:rsidRPr="00DE1793">
        <w:rPr>
          <w:rFonts w:cs="Arial"/>
          <w:szCs w:val="22"/>
          <w:vertAlign w:val="superscript"/>
        </w:rPr>
        <w:t xml:space="preserve">1 </w:t>
      </w:r>
      <w:r w:rsidRPr="00DE1793">
        <w:rPr>
          <w:rFonts w:cs="Arial"/>
          <w:szCs w:val="22"/>
        </w:rPr>
        <w:t>panta trešo daļu, Ministru kabineta 2018.gada 20.februāra noteikumu Nr.97 “Publiskas personas mantas izno</w:t>
      </w:r>
      <w:r w:rsidRPr="00DE1793">
        <w:rPr>
          <w:rFonts w:cs="Arial"/>
          <w:szCs w:val="22"/>
        </w:rPr>
        <w:t>māšanas noteikumi” 5.punktu, 2021.gada 31.janvāra Deleģēšanas līgumu starp Liepājas pilsētas pašvaldību un SIA “Liepājas latviešu biedrības nams”, 2017.gada 1.marta Nekustamā īpašuma pārvaldīšanas līgumiem par nekustamo īpašumu Rožu laukumā 5/6 un Miķeļa V</w:t>
      </w:r>
      <w:r w:rsidRPr="00DE1793">
        <w:rPr>
          <w:rFonts w:cs="Arial"/>
          <w:szCs w:val="22"/>
        </w:rPr>
        <w:t xml:space="preserve">altera ielā 7, Liepājā, pārvaldīšanu un apsaimniekošanu, un izskatot Liepājas valstspilsētas pašvaldības domes pastāvīgās Izglītības, kultūras un sporta komitejas 2021.gada 7.oktobra lēmumu (sēdes protokols Nr.10) un pastāvīgās Finanšu komitejas 2021.gada </w:t>
      </w:r>
      <w:r w:rsidRPr="00DE1793">
        <w:rPr>
          <w:rFonts w:cs="Arial"/>
          <w:szCs w:val="22"/>
        </w:rPr>
        <w:t xml:space="preserve">7.oktobra lēmumu (sēdes protokols Nr.11), Liepājas valstspilsētas pašvaldības dome </w:t>
      </w:r>
      <w:r w:rsidRPr="00DE1793">
        <w:rPr>
          <w:rFonts w:cs="Arial"/>
          <w:b/>
          <w:szCs w:val="22"/>
        </w:rPr>
        <w:t>nolemj</w:t>
      </w:r>
      <w:r w:rsidRPr="00DE1793">
        <w:rPr>
          <w:rFonts w:cs="Arial"/>
          <w:b/>
          <w:bCs/>
          <w:szCs w:val="22"/>
        </w:rPr>
        <w:t>:</w:t>
      </w:r>
    </w:p>
    <w:p w14:paraId="11A73D1C" w14:textId="77777777" w:rsidR="00DE1793" w:rsidRPr="00DE1793" w:rsidRDefault="00DE1793" w:rsidP="00DE179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57E022F4" w14:textId="77777777" w:rsidR="00DE1793" w:rsidRPr="00DE1793" w:rsidRDefault="005D55E7" w:rsidP="00DE179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color w:val="000000"/>
          <w:szCs w:val="22"/>
        </w:rPr>
      </w:pPr>
      <w:r w:rsidRPr="00DE1793">
        <w:rPr>
          <w:rFonts w:cs="Arial"/>
          <w:szCs w:val="22"/>
        </w:rPr>
        <w:t>Izdarīt Liepājas pilsētas domes 2020.gada 15.oktobra lēmuma Nr.504/14 “Par SIA “Liepājas latviešu biedrības nams” nomas maksas cenrādi” pielikumā “</w:t>
      </w:r>
      <w:r w:rsidRPr="00DE1793">
        <w:rPr>
          <w:rFonts w:cs="Arial"/>
          <w:bCs/>
          <w:color w:val="000000"/>
          <w:szCs w:val="22"/>
        </w:rPr>
        <w:t xml:space="preserve">Nomas </w:t>
      </w:r>
      <w:r w:rsidRPr="00DE1793">
        <w:rPr>
          <w:rFonts w:cs="Arial"/>
          <w:bCs/>
          <w:color w:val="000000"/>
          <w:szCs w:val="22"/>
        </w:rPr>
        <w:t>maksas cenrādis” šādus grozījumus:</w:t>
      </w:r>
    </w:p>
    <w:p w14:paraId="4CA9C4EE" w14:textId="77777777" w:rsidR="00DE1793" w:rsidRPr="00DE1793" w:rsidRDefault="005D55E7" w:rsidP="00DE179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E1793">
        <w:rPr>
          <w:rFonts w:cs="Arial"/>
          <w:szCs w:val="22"/>
        </w:rPr>
        <w:t>1. Izteikt 1.punktu šādā redakcijā:</w:t>
      </w:r>
    </w:p>
    <w:p w14:paraId="27F4B395" w14:textId="77777777" w:rsidR="00DE1793" w:rsidRPr="00DE1793" w:rsidRDefault="005D55E7" w:rsidP="00DE179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E1793">
        <w:rPr>
          <w:rFonts w:cs="Arial"/>
          <w:szCs w:val="22"/>
        </w:rPr>
        <w:t>“1. Nekustamā īpašuma Liepājas Latviešu biedrības nams, Rožu laukums 5/6, Liepāja, un pilsētvides afišu stabu, afišu sienas koncertestrādē “Pūt, vējiņi!” cenrādis.”.</w:t>
      </w:r>
    </w:p>
    <w:p w14:paraId="719A1BCA" w14:textId="77777777" w:rsidR="00DE1793" w:rsidRPr="00DE1793" w:rsidRDefault="00DE1793" w:rsidP="00DE179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  <w:szCs w:val="10"/>
        </w:rPr>
      </w:pPr>
    </w:p>
    <w:p w14:paraId="40290B38" w14:textId="77777777" w:rsidR="00DE1793" w:rsidRPr="00DE1793" w:rsidRDefault="005D55E7" w:rsidP="00DE179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E1793">
        <w:rPr>
          <w:rFonts w:cs="Arial"/>
          <w:szCs w:val="22"/>
        </w:rPr>
        <w:t>2. Izteikt tabulas</w:t>
      </w:r>
      <w:r w:rsidRPr="00DE1793">
        <w:rPr>
          <w:rFonts w:cs="Arial"/>
          <w:szCs w:val="22"/>
        </w:rPr>
        <w:t xml:space="preserve"> 8. un 9.punktu šādā redakcijā:</w:t>
      </w:r>
    </w:p>
    <w:tbl>
      <w:tblPr>
        <w:tblW w:w="8511" w:type="dxa"/>
        <w:jc w:val="right"/>
        <w:tblLook w:val="04A0" w:firstRow="1" w:lastRow="0" w:firstColumn="1" w:lastColumn="0" w:noHBand="0" w:noVBand="1"/>
      </w:tblPr>
      <w:tblGrid>
        <w:gridCol w:w="4531"/>
        <w:gridCol w:w="1158"/>
        <w:gridCol w:w="7"/>
        <w:gridCol w:w="1406"/>
        <w:gridCol w:w="1428"/>
      </w:tblGrid>
      <w:tr w:rsidR="00CC6A03" w14:paraId="3786BB56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0407C" w14:textId="77777777" w:rsidR="00DE1793" w:rsidRPr="00DE1793" w:rsidRDefault="005D55E7" w:rsidP="00DE1793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E1793">
              <w:rPr>
                <w:rFonts w:cs="Arial"/>
                <w:b/>
                <w:bCs/>
                <w:color w:val="000000"/>
                <w:szCs w:val="22"/>
              </w:rPr>
              <w:t>Nomas priekšmets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6800D" w14:textId="77777777" w:rsidR="00DE1793" w:rsidRPr="00DE1793" w:rsidRDefault="005D55E7" w:rsidP="00DE1793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E1793">
              <w:rPr>
                <w:rFonts w:cs="Arial"/>
                <w:b/>
                <w:bCs/>
                <w:color w:val="000000"/>
                <w:szCs w:val="22"/>
              </w:rPr>
              <w:t>Vienība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B7CF7" w14:textId="77777777" w:rsidR="00DE1793" w:rsidRPr="00DE1793" w:rsidRDefault="005D55E7" w:rsidP="00DE1793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E1793">
              <w:rPr>
                <w:rFonts w:cs="Arial"/>
                <w:b/>
                <w:bCs/>
                <w:color w:val="000000"/>
                <w:szCs w:val="22"/>
              </w:rPr>
              <w:t>Cena EUR (bez PVN)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A0E" w14:textId="77777777" w:rsidR="00DE1793" w:rsidRPr="00DE1793" w:rsidRDefault="005D55E7" w:rsidP="00DE1793">
            <w:pPr>
              <w:jc w:val="center"/>
              <w:rPr>
                <w:rFonts w:cs="Arial"/>
                <w:color w:val="000000"/>
                <w:szCs w:val="22"/>
              </w:rPr>
            </w:pPr>
            <w:r w:rsidRPr="00DE1793">
              <w:rPr>
                <w:rFonts w:cs="Arial"/>
                <w:b/>
                <w:bCs/>
                <w:color w:val="000000"/>
                <w:szCs w:val="22"/>
              </w:rPr>
              <w:t>Cena EUR (ar PVN)</w:t>
            </w:r>
          </w:p>
        </w:tc>
      </w:tr>
      <w:tr w:rsidR="00CC6A03" w14:paraId="58A631F3" w14:textId="77777777" w:rsidTr="00402241">
        <w:trPr>
          <w:trHeight w:val="300"/>
          <w:jc w:val="right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D9A53" w14:textId="77777777" w:rsidR="00DE1793" w:rsidRPr="00DE1793" w:rsidRDefault="005D55E7" w:rsidP="00DE1793">
            <w:pPr>
              <w:rPr>
                <w:rFonts w:cs="Arial"/>
                <w:sz w:val="24"/>
              </w:rPr>
            </w:pPr>
            <w:r w:rsidRPr="00DE1793">
              <w:rPr>
                <w:rFonts w:cs="Arial"/>
                <w:b/>
                <w:sz w:val="24"/>
              </w:rPr>
              <w:t>“</w:t>
            </w:r>
            <w:r w:rsidRPr="00DE1793">
              <w:rPr>
                <w:rFonts w:cs="Arial"/>
                <w:b/>
                <w:szCs w:val="22"/>
              </w:rPr>
              <w:t>8. Tehnisko iekārtu izvietošanas vietas noma</w:t>
            </w:r>
          </w:p>
        </w:tc>
      </w:tr>
      <w:tr w:rsidR="00CC6A03" w14:paraId="50B36B94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72246" w14:textId="77777777" w:rsidR="00DE1793" w:rsidRPr="00DE1793" w:rsidRDefault="005D55E7" w:rsidP="00DE1793">
            <w:pPr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8.1. Dzērienu, ēdienu, biļešu automātu izvietošanas vietas noma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ABFF5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1 mēnesis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DC78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22,50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9F7E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27,23</w:t>
            </w:r>
          </w:p>
        </w:tc>
      </w:tr>
      <w:tr w:rsidR="00CC6A03" w14:paraId="5582CEEA" w14:textId="77777777" w:rsidTr="00402241">
        <w:trPr>
          <w:trHeight w:val="300"/>
          <w:jc w:val="right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FF8F" w14:textId="77777777" w:rsidR="00DE1793" w:rsidRPr="00DE1793" w:rsidRDefault="005D55E7" w:rsidP="00DE1793">
            <w:pPr>
              <w:jc w:val="both"/>
              <w:rPr>
                <w:rFonts w:cs="Arial"/>
                <w:b/>
                <w:szCs w:val="22"/>
              </w:rPr>
            </w:pPr>
            <w:r w:rsidRPr="00DE1793">
              <w:rPr>
                <w:rFonts w:cs="Arial"/>
                <w:b/>
                <w:szCs w:val="22"/>
              </w:rPr>
              <w:t>9. Reklāmas vietu noma Liepājas Latviešu biedrības namā, koncertestrādē “Pūt, vējiņi!” un uz afišu stabiem pilsētvidē</w:t>
            </w:r>
          </w:p>
        </w:tc>
      </w:tr>
      <w:tr w:rsidR="00CC6A03" w14:paraId="56AE7C6E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C92B" w14:textId="77777777" w:rsidR="00DE1793" w:rsidRPr="00DE1793" w:rsidRDefault="005D55E7" w:rsidP="00DE1793">
            <w:pPr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9.1. Reklāmas vietas noma A0 formāta (84,1x118,9 cm)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2827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1 diennakts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161D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0,80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4E59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0,97</w:t>
            </w:r>
          </w:p>
        </w:tc>
      </w:tr>
      <w:tr w:rsidR="00CC6A03" w14:paraId="4FB6EBCB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6877" w14:textId="77777777" w:rsidR="00DE1793" w:rsidRPr="00DE1793" w:rsidRDefault="005D55E7" w:rsidP="00DE1793">
            <w:pPr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9.2. Digitālās reklāmas vietas noma LLBN foajē (ar ieeju no A.Pumpura ielas) A0 formāta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9BA3" w14:textId="77777777" w:rsidR="00DE1793" w:rsidRPr="00DE1793" w:rsidRDefault="00DE1793" w:rsidP="00DE1793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802C" w14:textId="77777777" w:rsidR="00DE1793" w:rsidRPr="00DE1793" w:rsidRDefault="00DE1793" w:rsidP="00DE1793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0E86" w14:textId="77777777" w:rsidR="00DE1793" w:rsidRPr="00DE1793" w:rsidRDefault="00DE1793" w:rsidP="00DE1793">
            <w:pPr>
              <w:rPr>
                <w:rFonts w:cs="Arial"/>
                <w:szCs w:val="22"/>
              </w:rPr>
            </w:pPr>
          </w:p>
        </w:tc>
      </w:tr>
      <w:tr w:rsidR="00CC6A03" w14:paraId="14B09103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9EAB" w14:textId="77777777" w:rsidR="00DE1793" w:rsidRPr="00DE1793" w:rsidRDefault="005D55E7" w:rsidP="00DE1793">
            <w:pPr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 xml:space="preserve">9.3. Reklāmas vietas noma A1 formāta (59x84 cm)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3CA61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1 diennakts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D74A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0,45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E284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0,55</w:t>
            </w:r>
          </w:p>
        </w:tc>
      </w:tr>
      <w:tr w:rsidR="00CC6A03" w14:paraId="01C5A85D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D643" w14:textId="77777777" w:rsidR="00DE1793" w:rsidRPr="00DE1793" w:rsidRDefault="005D55E7" w:rsidP="00DE1793">
            <w:pPr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9.4. Reklāmas vietas noma A2 formāta (42x59 cm)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3AEB2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1 diennakts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19AC9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BECBB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0,43</w:t>
            </w:r>
          </w:p>
        </w:tc>
      </w:tr>
      <w:tr w:rsidR="00CC6A03" w14:paraId="07D37807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8B6E1" w14:textId="77777777" w:rsidR="00DE1793" w:rsidRPr="00DE1793" w:rsidRDefault="005D55E7" w:rsidP="00DE1793">
            <w:pPr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lastRenderedPageBreak/>
              <w:t xml:space="preserve">9.5. Reklāmas </w:t>
            </w:r>
            <w:r w:rsidRPr="00DE1793">
              <w:rPr>
                <w:rFonts w:cs="Arial"/>
                <w:szCs w:val="22"/>
              </w:rPr>
              <w:t>vietas noma A3 formāta (27,9x42 cm)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C86F9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1 diennakts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2AF8A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F3A2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0,31</w:t>
            </w:r>
          </w:p>
        </w:tc>
      </w:tr>
      <w:tr w:rsidR="00CC6A03" w14:paraId="6E9BE978" w14:textId="77777777" w:rsidTr="00402241">
        <w:trPr>
          <w:trHeight w:val="30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66C7" w14:textId="77777777" w:rsidR="00DE1793" w:rsidRPr="00DE1793" w:rsidRDefault="005D55E7" w:rsidP="00DE1793">
            <w:pPr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9.6. Reklāmas vietas noma A4 formāta (21x29,7 cm)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D003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1 diennakts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FD643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93A5" w14:textId="77777777" w:rsidR="00DE1793" w:rsidRPr="00DE1793" w:rsidRDefault="005D55E7" w:rsidP="00DE1793">
            <w:pPr>
              <w:jc w:val="center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0,25”</w:t>
            </w:r>
          </w:p>
        </w:tc>
      </w:tr>
    </w:tbl>
    <w:p w14:paraId="6E589A33" w14:textId="77777777" w:rsidR="00DE1793" w:rsidRPr="00DE1793" w:rsidRDefault="00DE1793" w:rsidP="00DE179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8208F3C" w14:textId="77777777" w:rsidR="00DE1793" w:rsidRPr="00DE1793" w:rsidRDefault="00DE1793" w:rsidP="00DE179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7423E29C" w14:textId="77777777" w:rsidR="00DE1793" w:rsidRPr="00DE1793" w:rsidRDefault="00DE1793" w:rsidP="00DE1793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3063"/>
      </w:tblGrid>
      <w:tr w:rsidR="00CC6A03" w14:paraId="6B8E5CA1" w14:textId="77777777" w:rsidTr="00402241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97781" w14:textId="77777777" w:rsidR="00DE1793" w:rsidRPr="00DE1793" w:rsidRDefault="005D55E7" w:rsidP="00DE17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292A5B05" w14:textId="77777777" w:rsidR="00DE1793" w:rsidRPr="00DE1793" w:rsidRDefault="005D55E7" w:rsidP="00DE17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Gunārs Ansiņš</w:t>
            </w:r>
          </w:p>
          <w:p w14:paraId="58F28969" w14:textId="77777777" w:rsidR="00DE1793" w:rsidRPr="00DE1793" w:rsidRDefault="00DE1793" w:rsidP="00DE17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C6A03" w14:paraId="457A7C8D" w14:textId="77777777" w:rsidTr="0040224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84845F" w14:textId="77777777" w:rsidR="00DE1793" w:rsidRPr="00DE1793" w:rsidRDefault="005D55E7" w:rsidP="00DE17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E179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72254" w14:textId="77777777" w:rsidR="00DE1793" w:rsidRPr="00DE1793" w:rsidRDefault="005D55E7" w:rsidP="00DE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E1793">
              <w:rPr>
                <w:szCs w:val="22"/>
              </w:rPr>
              <w:t xml:space="preserve">Finanšu pārvaldei, Juridiskajai daļai, Kapitālsabiedrību pārvaldības </w:t>
            </w:r>
            <w:r w:rsidRPr="00DE1793">
              <w:rPr>
                <w:szCs w:val="22"/>
              </w:rPr>
              <w:t>uzraudzības un revīzijas daļai, SIA “Liepājas latviešu biedrības nams”</w:t>
            </w:r>
          </w:p>
          <w:p w14:paraId="3D4CC6FC" w14:textId="77777777" w:rsidR="00DE1793" w:rsidRPr="00DE1793" w:rsidRDefault="00DE1793" w:rsidP="00DE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709003F" w14:textId="77777777" w:rsidR="00DE1793" w:rsidRPr="00DE1793" w:rsidRDefault="00DE1793" w:rsidP="00DE17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F5B2E40" w14:textId="77777777" w:rsidR="00DE1793" w:rsidRDefault="00DE1793" w:rsidP="007521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80A4462" w14:textId="77777777" w:rsidR="00DE1793" w:rsidRDefault="00DE1793" w:rsidP="007521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CEE5C9C" w14:textId="77777777" w:rsidR="00DE1793" w:rsidRDefault="00DE1793" w:rsidP="007521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63B3ED" w14:textId="77777777" w:rsidR="00DE1793" w:rsidRDefault="00DE1793" w:rsidP="0075216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E179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96B8" w14:textId="77777777" w:rsidR="005D55E7" w:rsidRDefault="005D55E7">
      <w:r>
        <w:separator/>
      </w:r>
    </w:p>
  </w:endnote>
  <w:endnote w:type="continuationSeparator" w:id="0">
    <w:p w14:paraId="32DFB85A" w14:textId="77777777" w:rsidR="005D55E7" w:rsidRDefault="005D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86AF" w14:textId="77777777" w:rsidR="00E90D4C" w:rsidRPr="00765476" w:rsidRDefault="00E90D4C" w:rsidP="006E5122">
    <w:pPr>
      <w:pStyle w:val="Footer"/>
      <w:jc w:val="both"/>
    </w:pPr>
  </w:p>
  <w:p w14:paraId="3B53BE0B" w14:textId="77777777" w:rsidR="00CC6A03" w:rsidRDefault="005D55E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5B91" w14:textId="77777777" w:rsidR="00CC6A03" w:rsidRDefault="005D55E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3727" w14:textId="77777777" w:rsidR="005D55E7" w:rsidRDefault="005D55E7">
      <w:r>
        <w:separator/>
      </w:r>
    </w:p>
  </w:footnote>
  <w:footnote w:type="continuationSeparator" w:id="0">
    <w:p w14:paraId="677D6F95" w14:textId="77777777" w:rsidR="005D55E7" w:rsidRDefault="005D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AFA5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0E05" w14:textId="77777777" w:rsidR="00EB209C" w:rsidRPr="00AE2B38" w:rsidRDefault="005D55E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B7E9809" wp14:editId="729B7A6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36921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EB98C" w14:textId="77777777" w:rsidR="00EB209C" w:rsidRPr="00356E0F" w:rsidRDefault="005D55E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A8100A1" w14:textId="77777777" w:rsidR="001002D7" w:rsidRDefault="005D55E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202195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9587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B06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27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C4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8A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AD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E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228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96D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936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8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63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41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2D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C5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A2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E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B102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C7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86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88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60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44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02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02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E9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14A71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5AC0E6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4E89D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0963DF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2C6996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5682B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68091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C6E1D3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59881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FDAE21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8E048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47A27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3E48A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68FF3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B893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38EB43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AACC80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D7AEF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57C4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9A01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F2AB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42F7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542C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E67B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140E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20ED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C8E6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A48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E0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40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63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AE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66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41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00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C7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636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C1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C4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68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63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EF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C8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1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8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6A859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D9A87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1042F3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C58C6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35833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5287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CEA1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F4A9FA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DA485A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A7A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37DC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61D0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1FFB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5C3A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474DC"/>
    <w:rsid w:val="0055068B"/>
    <w:rsid w:val="00553AE3"/>
    <w:rsid w:val="00562702"/>
    <w:rsid w:val="00563D75"/>
    <w:rsid w:val="0056464C"/>
    <w:rsid w:val="00570EF0"/>
    <w:rsid w:val="00570F86"/>
    <w:rsid w:val="005778F6"/>
    <w:rsid w:val="005810C2"/>
    <w:rsid w:val="00582A55"/>
    <w:rsid w:val="005A0117"/>
    <w:rsid w:val="005A2099"/>
    <w:rsid w:val="005B33BE"/>
    <w:rsid w:val="005B5B18"/>
    <w:rsid w:val="005D3BF3"/>
    <w:rsid w:val="005D55E7"/>
    <w:rsid w:val="005D5BFB"/>
    <w:rsid w:val="005E0637"/>
    <w:rsid w:val="005F5AA8"/>
    <w:rsid w:val="0060323C"/>
    <w:rsid w:val="00607627"/>
    <w:rsid w:val="00616BBA"/>
    <w:rsid w:val="00616FEE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172E"/>
    <w:rsid w:val="0072778E"/>
    <w:rsid w:val="00732DE8"/>
    <w:rsid w:val="0075216F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7FB3"/>
    <w:rsid w:val="00876669"/>
    <w:rsid w:val="00887E07"/>
    <w:rsid w:val="008928FB"/>
    <w:rsid w:val="00894232"/>
    <w:rsid w:val="00896E7E"/>
    <w:rsid w:val="008B10F6"/>
    <w:rsid w:val="008B4511"/>
    <w:rsid w:val="008B7F8F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6B13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C6A03"/>
    <w:rsid w:val="00CD1907"/>
    <w:rsid w:val="00CE38D6"/>
    <w:rsid w:val="00CE58FC"/>
    <w:rsid w:val="00CE7E57"/>
    <w:rsid w:val="00CF2F6F"/>
    <w:rsid w:val="00CF74E4"/>
    <w:rsid w:val="00CF7675"/>
    <w:rsid w:val="00D03C2E"/>
    <w:rsid w:val="00D14732"/>
    <w:rsid w:val="00D1697F"/>
    <w:rsid w:val="00D236C4"/>
    <w:rsid w:val="00D25DF2"/>
    <w:rsid w:val="00D31C99"/>
    <w:rsid w:val="00D436CA"/>
    <w:rsid w:val="00D57168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1793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3EC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4DF6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937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C2B2-C3D8-4E3A-A077-083969B7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2021-10-21T10:24:00Z</dcterms:created>
  <dcterms:modified xsi:type="dcterms:W3CDTF">2021-10-21T10:24:00Z</dcterms:modified>
</cp:coreProperties>
</file>