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B2A6" w14:textId="77777777" w:rsidR="000C6D07" w:rsidRPr="000C6D07" w:rsidRDefault="000C6D07" w:rsidP="00376C19">
      <w:pPr>
        <w:pStyle w:val="Title"/>
        <w:rPr>
          <w:rFonts w:ascii="Arial" w:hAnsi="Arial" w:cs="Arial"/>
          <w:b/>
          <w:sz w:val="14"/>
          <w:szCs w:val="14"/>
        </w:rPr>
      </w:pPr>
    </w:p>
    <w:p w14:paraId="3FA3778D" w14:textId="77777777" w:rsidR="00376C19" w:rsidRPr="00FA72DA" w:rsidRDefault="00376C19" w:rsidP="00376C19">
      <w:pPr>
        <w:pStyle w:val="Title"/>
        <w:rPr>
          <w:rFonts w:ascii="Arial" w:hAnsi="Arial" w:cs="Arial"/>
          <w:b/>
          <w:sz w:val="24"/>
        </w:rPr>
      </w:pPr>
      <w:r w:rsidRPr="00FA72DA">
        <w:rPr>
          <w:rFonts w:ascii="Arial" w:hAnsi="Arial" w:cs="Arial"/>
          <w:b/>
          <w:sz w:val="24"/>
        </w:rPr>
        <w:t xml:space="preserve">Saistošo noteikumu </w:t>
      </w:r>
      <w:r w:rsidR="000C6D07" w:rsidRPr="000C6D07">
        <w:rPr>
          <w:rFonts w:ascii="Arial" w:eastAsia="Calibri" w:hAnsi="Arial" w:cs="Arial"/>
          <w:sz w:val="24"/>
        </w:rPr>
        <w:t>"</w:t>
      </w:r>
      <w:r w:rsidRPr="00FA72DA">
        <w:rPr>
          <w:rFonts w:ascii="Arial" w:hAnsi="Arial" w:cs="Arial"/>
          <w:b/>
          <w:sz w:val="24"/>
        </w:rPr>
        <w:t>Grozījumi Liepājas pilsētas domes 2011.</w:t>
      </w:r>
      <w:r w:rsidR="00FC3BC7">
        <w:rPr>
          <w:rFonts w:ascii="Arial" w:hAnsi="Arial" w:cs="Arial"/>
          <w:b/>
          <w:sz w:val="24"/>
        </w:rPr>
        <w:t xml:space="preserve"> </w:t>
      </w:r>
      <w:r w:rsidRPr="00FA72DA">
        <w:rPr>
          <w:rFonts w:ascii="Arial" w:hAnsi="Arial" w:cs="Arial"/>
          <w:b/>
          <w:sz w:val="24"/>
        </w:rPr>
        <w:t xml:space="preserve">gada </w:t>
      </w:r>
      <w:r>
        <w:rPr>
          <w:rFonts w:ascii="Arial" w:hAnsi="Arial" w:cs="Arial"/>
          <w:b/>
          <w:sz w:val="24"/>
        </w:rPr>
        <w:t xml:space="preserve">                       2</w:t>
      </w:r>
      <w:r w:rsidRPr="00FA72DA">
        <w:rPr>
          <w:rFonts w:ascii="Arial" w:hAnsi="Arial" w:cs="Arial"/>
          <w:b/>
          <w:sz w:val="24"/>
        </w:rPr>
        <w:t>7.</w:t>
      </w:r>
      <w:r w:rsidR="00FC3B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oktobra</w:t>
      </w:r>
      <w:r w:rsidRPr="00FA72DA">
        <w:rPr>
          <w:rFonts w:ascii="Arial" w:hAnsi="Arial" w:cs="Arial"/>
          <w:b/>
          <w:sz w:val="24"/>
        </w:rPr>
        <w:t xml:space="preserve"> saistošajos noteikumos Nr.</w:t>
      </w:r>
      <w:r w:rsidR="00FC3BC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13</w:t>
      </w:r>
      <w:r w:rsidRPr="00FA72DA">
        <w:rPr>
          <w:rFonts w:ascii="Arial" w:hAnsi="Arial" w:cs="Arial"/>
          <w:b/>
          <w:sz w:val="24"/>
        </w:rPr>
        <w:t xml:space="preserve"> </w:t>
      </w:r>
      <w:r w:rsidR="000C6D07" w:rsidRPr="000C6D07">
        <w:rPr>
          <w:rFonts w:ascii="Arial" w:eastAsia="Calibri" w:hAnsi="Arial" w:cs="Arial"/>
          <w:sz w:val="24"/>
        </w:rPr>
        <w:t>"</w:t>
      </w:r>
      <w:r>
        <w:rPr>
          <w:rFonts w:ascii="Arial" w:hAnsi="Arial" w:cs="Arial"/>
          <w:b/>
          <w:sz w:val="24"/>
        </w:rPr>
        <w:t>S</w:t>
      </w:r>
      <w:r w:rsidRPr="00FA72DA">
        <w:rPr>
          <w:rFonts w:ascii="Arial" w:hAnsi="Arial" w:cs="Arial"/>
          <w:b/>
          <w:sz w:val="24"/>
        </w:rPr>
        <w:t>AISTOŠIE NOTEIKUMI PAR</w:t>
      </w:r>
      <w:r>
        <w:rPr>
          <w:rFonts w:ascii="Arial" w:hAnsi="Arial" w:cs="Arial"/>
          <w:b/>
          <w:sz w:val="24"/>
        </w:rPr>
        <w:t xml:space="preserve"> IZGLĪTOJAMO ĒDINĀŠANAS MAKSAS ATVIEGLOJUMIEM LIEPĀJAS VISPĀRĒJĀS IZGLĪTĪBAS IESTĀDĒS</w:t>
      </w:r>
      <w:r w:rsidR="000C6D07" w:rsidRPr="000C6D07">
        <w:rPr>
          <w:rFonts w:ascii="Arial" w:eastAsia="Calibri" w:hAnsi="Arial" w:cs="Arial"/>
          <w:sz w:val="24"/>
        </w:rPr>
        <w:t>""</w:t>
      </w:r>
    </w:p>
    <w:p w14:paraId="7D2E2F9D" w14:textId="77777777" w:rsidR="00376C19" w:rsidRPr="007F1B91" w:rsidRDefault="00376C19" w:rsidP="00376C19">
      <w:pPr>
        <w:pStyle w:val="Heading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F1B91">
        <w:rPr>
          <w:rFonts w:ascii="Arial" w:hAnsi="Arial" w:cs="Arial"/>
          <w:sz w:val="24"/>
          <w:szCs w:val="24"/>
        </w:rPr>
        <w:t>PA</w:t>
      </w:r>
      <w:r w:rsidRPr="007F1B91">
        <w:rPr>
          <w:rStyle w:val="Strong"/>
          <w:rFonts w:ascii="Arial" w:hAnsi="Arial" w:cs="Arial"/>
          <w:b/>
          <w:bCs/>
          <w:sz w:val="24"/>
          <w:szCs w:val="24"/>
        </w:rPr>
        <w:t>SKAIDROJUMA RAKSTS</w:t>
      </w:r>
    </w:p>
    <w:p w14:paraId="6FE5A09B" w14:textId="77777777" w:rsidR="00376C19" w:rsidRPr="000C6D07" w:rsidRDefault="00376C19" w:rsidP="00376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8"/>
          <w:szCs w:val="38"/>
          <w:lang w:eastAsia="lv-LV"/>
        </w:rPr>
      </w:pPr>
    </w:p>
    <w:tbl>
      <w:tblPr>
        <w:tblW w:w="5000" w:type="pct"/>
        <w:tblInd w:w="-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3"/>
        <w:gridCol w:w="5945"/>
      </w:tblGrid>
      <w:tr w:rsidR="00376C19" w:rsidRPr="00EB5BFA" w14:paraId="7AC967E5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4F3CD7" w14:textId="77777777" w:rsidR="00376C19" w:rsidRPr="00303F44" w:rsidRDefault="00376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303F44">
              <w:rPr>
                <w:rFonts w:ascii="Arial" w:eastAsia="Times New Roman" w:hAnsi="Arial" w:cs="Arial"/>
                <w:lang w:eastAsia="lv-LV"/>
              </w:rPr>
              <w:t>Paskaidrojumu raksta sadaļas</w:t>
            </w: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DDD88D" w14:textId="77777777" w:rsidR="00376C19" w:rsidRPr="00303F44" w:rsidRDefault="00376C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303F44">
              <w:rPr>
                <w:rFonts w:ascii="Arial" w:eastAsia="Times New Roman" w:hAnsi="Arial" w:cs="Arial"/>
                <w:lang w:eastAsia="lv-LV"/>
              </w:rPr>
              <w:t>Informācija</w:t>
            </w:r>
          </w:p>
        </w:tc>
      </w:tr>
      <w:tr w:rsidR="00376C19" w:rsidRPr="00EB5BFA" w14:paraId="41D9452A" w14:textId="77777777">
        <w:trPr>
          <w:trHeight w:val="1373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A3B1C2" w14:textId="77777777" w:rsidR="00376C19" w:rsidRPr="00C653C7" w:rsidRDefault="00376C19" w:rsidP="000C6D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t>Projekta nepieciešamības pamatojums</w:t>
            </w: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712CD" w14:textId="77777777" w:rsidR="00376C19" w:rsidRPr="00EB5BFA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 w:rsidRPr="00EB5BFA">
              <w:rPr>
                <w:rFonts w:ascii="Arial" w:hAnsi="Arial" w:cs="Arial"/>
              </w:rPr>
              <w:t xml:space="preserve">    </w:t>
            </w:r>
            <w:r w:rsidR="000C6D0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Liepājas pilsētas domes 2011.</w:t>
            </w:r>
            <w:r w:rsidR="00FC3BC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gada 27.</w:t>
            </w:r>
            <w:r w:rsidR="00FC3BC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oktobra saistošie noteikumi Nr.</w:t>
            </w:r>
            <w:r w:rsidR="00FC3BC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 xml:space="preserve">13 "Saistošie noteikumi par ēdināšanas maksas atvieglojumiem Liepājas vispārējās izglītības iestādēs" (turpmāk </w:t>
            </w:r>
            <w:r w:rsidR="000C6D07">
              <w:rPr>
                <w:rFonts w:ascii="Arial" w:hAnsi="Arial" w:cs="Arial"/>
              </w:rPr>
              <w:t>-</w:t>
            </w:r>
            <w:r w:rsidRPr="00EB5BFA">
              <w:rPr>
                <w:rFonts w:ascii="Arial" w:hAnsi="Arial" w:cs="Arial"/>
              </w:rPr>
              <w:t xml:space="preserve"> Saistošie noteikumi Nr.</w:t>
            </w:r>
            <w:r w:rsidR="00FC3BC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13) nosaka kārtību, kādā piešķir ēdināšanas maksas atvieglojumus vispārējās izglītības iestādēs, kā arī nosaka atvieglojumu apmēru.</w:t>
            </w:r>
          </w:p>
          <w:p w14:paraId="48C92C92" w14:textId="77777777" w:rsidR="006321D2" w:rsidRPr="00EB5BFA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 w:rsidRPr="00EB5BFA">
              <w:rPr>
                <w:rFonts w:ascii="Arial" w:hAnsi="Arial" w:cs="Arial"/>
              </w:rPr>
              <w:t xml:space="preserve">    </w:t>
            </w:r>
            <w:r w:rsidR="000C6D0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Saistošajos noteikumos Nr.</w:t>
            </w:r>
            <w:r w:rsidR="00FC3BC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>13 nepieciešami grozījumi, lai noteiktu</w:t>
            </w:r>
            <w:r w:rsidR="006321D2" w:rsidRPr="00EB5BFA">
              <w:rPr>
                <w:rFonts w:ascii="Arial" w:hAnsi="Arial" w:cs="Arial"/>
              </w:rPr>
              <w:t xml:space="preserve"> papildu atvieglojumu grupas, kam piešķirams ēdināšanas maksas atvieglojums</w:t>
            </w:r>
            <w:r w:rsidR="00AC6BAC" w:rsidRPr="00EB5BFA">
              <w:rPr>
                <w:rFonts w:ascii="Arial" w:hAnsi="Arial" w:cs="Arial"/>
              </w:rPr>
              <w:t xml:space="preserve"> 100% un 50% apmērā pirmsskolas un vispārizglītojošā izglītības iestādē, tādējādi atbalstot daudzbērnu ģimenes un ģimenes, kuras audzina bērnu ar I vai II invaliditātes grupu. </w:t>
            </w:r>
          </w:p>
          <w:p w14:paraId="68BFBEAB" w14:textId="77777777" w:rsidR="003625B4" w:rsidRDefault="000C6D07" w:rsidP="00FC3BC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625B4" w:rsidRPr="00EB5BFA">
              <w:rPr>
                <w:rFonts w:ascii="Arial" w:hAnsi="Arial" w:cs="Arial"/>
              </w:rPr>
              <w:t>Grozījumi paredz arī privātpersonai atvieglot procedūru atvieglojumu saņemšanai, tā ir uzlabota un vienkāršota privātpersonas labā.</w:t>
            </w:r>
          </w:p>
          <w:p w14:paraId="1F0299F6" w14:textId="77777777" w:rsidR="00FC3BC7" w:rsidRPr="00FC3BC7" w:rsidRDefault="00FC3BC7" w:rsidP="00FC3BC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376C19" w:rsidRPr="00EB5BFA" w14:paraId="74B7156F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3F2B15" w14:textId="77777777" w:rsidR="00376C19" w:rsidRPr="00C653C7" w:rsidRDefault="00376C19" w:rsidP="000C6D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t>Īss projekta satura izklāsts</w:t>
            </w: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64A1C3" w14:textId="77777777" w:rsidR="00376C19" w:rsidRPr="00EB5BFA" w:rsidRDefault="000C6D0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76C19" w:rsidRPr="00EB5BFA">
              <w:rPr>
                <w:rFonts w:ascii="Arial" w:hAnsi="Arial" w:cs="Arial"/>
              </w:rPr>
              <w:t>Grozījumi saistošajos noteikumos Nr.</w:t>
            </w:r>
            <w:r w:rsidR="00FC3BC7">
              <w:rPr>
                <w:rFonts w:ascii="Arial" w:hAnsi="Arial" w:cs="Arial"/>
              </w:rPr>
              <w:t xml:space="preserve"> </w:t>
            </w:r>
            <w:r w:rsidR="00376C19" w:rsidRPr="00EB5BFA">
              <w:rPr>
                <w:rFonts w:ascii="Arial" w:hAnsi="Arial" w:cs="Arial"/>
              </w:rPr>
              <w:t>13 paredz:</w:t>
            </w:r>
          </w:p>
          <w:p w14:paraId="789EAD92" w14:textId="77777777" w:rsidR="00376C19" w:rsidRPr="00EB5BFA" w:rsidRDefault="000C6D07" w:rsidP="000C6D07">
            <w:pPr>
              <w:pStyle w:val="ListParagraph"/>
              <w:spacing w:after="0" w:line="240" w:lineRule="auto"/>
              <w:ind w:left="137" w:right="13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404C" w:rsidRPr="00EB5BFA">
              <w:rPr>
                <w:rFonts w:ascii="Arial" w:hAnsi="Arial" w:cs="Arial"/>
                <w:lang w:val="pl-PL"/>
              </w:rPr>
              <w:t xml:space="preserve">- </w:t>
            </w:r>
            <w:r w:rsidR="00376C19" w:rsidRPr="00EB5BFA">
              <w:rPr>
                <w:rFonts w:ascii="Arial" w:hAnsi="Arial" w:cs="Arial"/>
                <w:lang w:val="pl-PL"/>
              </w:rPr>
              <w:t>noteikt, ka pirmsskolas izglītības iestādē atvieglojumu     100% apmērā (brīvpusdienas) ir tiesības saņemt izglītojamajam no ģimenes, kura audzina trīs un vairāk bērnus vecumā līdz 1</w:t>
            </w:r>
            <w:r w:rsidR="0046404C" w:rsidRPr="00EB5BFA">
              <w:rPr>
                <w:rFonts w:ascii="Arial" w:hAnsi="Arial" w:cs="Arial"/>
                <w:lang w:val="pl-PL"/>
              </w:rPr>
              <w:t>8</w:t>
            </w:r>
            <w:r w:rsidR="00376C19" w:rsidRPr="00EB5BFA">
              <w:rPr>
                <w:rFonts w:ascii="Arial" w:hAnsi="Arial" w:cs="Arial"/>
                <w:lang w:val="pl-PL"/>
              </w:rPr>
              <w:t xml:space="preserve"> gadiem</w:t>
            </w:r>
            <w:r w:rsidR="0046404C" w:rsidRPr="00EB5BFA">
              <w:rPr>
                <w:rFonts w:ascii="Arial" w:hAnsi="Arial" w:cs="Arial"/>
                <w:lang w:val="pl-PL"/>
              </w:rPr>
              <w:t xml:space="preserve"> vai </w:t>
            </w:r>
            <w:r w:rsidR="00AC6BAC" w:rsidRPr="00EB5BFA">
              <w:rPr>
                <w:rFonts w:ascii="Arial" w:hAnsi="Arial" w:cs="Arial"/>
                <w:lang w:val="pl-PL"/>
              </w:rPr>
              <w:t xml:space="preserve">bērnu </w:t>
            </w:r>
            <w:r w:rsidR="0046404C" w:rsidRPr="00EB5BFA">
              <w:rPr>
                <w:rFonts w:ascii="Arial" w:hAnsi="Arial" w:cs="Arial"/>
                <w:lang w:val="pl-PL"/>
              </w:rPr>
              <w:t xml:space="preserve">ar I vai </w:t>
            </w:r>
            <w:r>
              <w:rPr>
                <w:rFonts w:ascii="Arial" w:hAnsi="Arial" w:cs="Arial"/>
                <w:lang w:val="pl-PL"/>
              </w:rPr>
              <w:t xml:space="preserve">                       </w:t>
            </w:r>
            <w:r w:rsidR="0046404C" w:rsidRPr="00EB5BFA">
              <w:rPr>
                <w:rFonts w:ascii="Arial" w:hAnsi="Arial" w:cs="Arial"/>
                <w:lang w:val="pl-PL"/>
              </w:rPr>
              <w:t>II invaliditātes grupu, kuras nav sasniegušas 24 gadu vecumu</w:t>
            </w:r>
            <w:r w:rsidR="00AC6BAC" w:rsidRPr="00EB5BFA">
              <w:rPr>
                <w:rFonts w:ascii="Arial" w:hAnsi="Arial" w:cs="Arial"/>
                <w:lang w:val="pl-PL"/>
              </w:rPr>
              <w:t>.</w:t>
            </w:r>
            <w:r w:rsidR="0046404C" w:rsidRPr="00EB5BFA">
              <w:rPr>
                <w:rFonts w:ascii="Arial" w:hAnsi="Arial" w:cs="Arial"/>
                <w:lang w:val="pl-PL"/>
              </w:rPr>
              <w:t xml:space="preserve"> </w:t>
            </w:r>
            <w:r w:rsidR="00AC6BAC" w:rsidRPr="00EB5BFA">
              <w:rPr>
                <w:rFonts w:ascii="Arial" w:hAnsi="Arial" w:cs="Arial"/>
                <w:lang w:val="pl-PL"/>
              </w:rPr>
              <w:t>B</w:t>
            </w:r>
            <w:r w:rsidR="00376C19" w:rsidRPr="00EB5BFA">
              <w:rPr>
                <w:rFonts w:ascii="Arial" w:hAnsi="Arial" w:cs="Arial"/>
                <w:lang w:val="pl-PL"/>
              </w:rPr>
              <w:t>et</w:t>
            </w:r>
            <w:r w:rsidR="00AC6BAC" w:rsidRPr="00EB5BFA">
              <w:rPr>
                <w:rFonts w:ascii="Arial" w:hAnsi="Arial" w:cs="Arial"/>
                <w:lang w:val="pl-PL"/>
              </w:rPr>
              <w:t>,</w:t>
            </w:r>
            <w:r w:rsidR="00376C19" w:rsidRPr="00EB5BFA">
              <w:rPr>
                <w:rFonts w:ascii="Arial" w:hAnsi="Arial" w:cs="Arial"/>
                <w:lang w:val="pl-PL"/>
              </w:rPr>
              <w:t xml:space="preserve"> ja kāds no bērniem turpina mācības vispārējās izglītības vai profesionālās izglītības iestādē dienas maiņā, tad lūdz dienai, kad viņš sasniedzis </w:t>
            </w:r>
            <w:r>
              <w:rPr>
                <w:rFonts w:ascii="Arial" w:hAnsi="Arial" w:cs="Arial"/>
                <w:lang w:val="pl-PL"/>
              </w:rPr>
              <w:t xml:space="preserve">                </w:t>
            </w:r>
            <w:r w:rsidR="00376C19" w:rsidRPr="00EB5BFA">
              <w:rPr>
                <w:rFonts w:ascii="Arial" w:hAnsi="Arial" w:cs="Arial"/>
                <w:lang w:val="pl-PL"/>
              </w:rPr>
              <w:t>2</w:t>
            </w:r>
            <w:r w:rsidR="0046404C" w:rsidRPr="00EB5BFA">
              <w:rPr>
                <w:rFonts w:ascii="Arial" w:hAnsi="Arial" w:cs="Arial"/>
                <w:lang w:val="pl-PL"/>
              </w:rPr>
              <w:t>4</w:t>
            </w:r>
            <w:r w:rsidR="00376C19" w:rsidRPr="00EB5BFA">
              <w:rPr>
                <w:rFonts w:ascii="Arial" w:hAnsi="Arial" w:cs="Arial"/>
                <w:lang w:val="pl-PL"/>
              </w:rPr>
              <w:t xml:space="preserve"> gadu vecumu</w:t>
            </w:r>
            <w:r w:rsidR="0046404C" w:rsidRPr="00EB5BFA">
              <w:rPr>
                <w:rFonts w:ascii="Arial" w:hAnsi="Arial" w:cs="Arial"/>
                <w:lang w:val="pl-PL"/>
              </w:rPr>
              <w:t>;</w:t>
            </w:r>
          </w:p>
          <w:p w14:paraId="7A75C447" w14:textId="77777777" w:rsidR="00376C19" w:rsidRPr="00EB5BFA" w:rsidRDefault="000C6D07" w:rsidP="000C6D07">
            <w:pPr>
              <w:pStyle w:val="ListParagraph"/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 xml:space="preserve">     </w:t>
            </w:r>
            <w:r w:rsidR="0046404C" w:rsidRPr="00EB5BFA">
              <w:rPr>
                <w:rFonts w:ascii="Arial" w:hAnsi="Arial" w:cs="Arial"/>
                <w:lang w:val="pl-PL"/>
              </w:rPr>
              <w:t xml:space="preserve">- </w:t>
            </w:r>
            <w:r w:rsidR="00376C19" w:rsidRPr="00EB5BFA">
              <w:rPr>
                <w:rFonts w:ascii="Arial" w:hAnsi="Arial" w:cs="Arial"/>
                <w:lang w:val="pl-PL"/>
              </w:rPr>
              <w:t xml:space="preserve">noteikt, ka </w:t>
            </w:r>
            <w:r w:rsidR="0046404C" w:rsidRPr="00EB5BFA">
              <w:rPr>
                <w:rFonts w:ascii="Arial" w:hAnsi="Arial" w:cs="Arial"/>
              </w:rPr>
              <w:t>atvieglojumu 100</w:t>
            </w:r>
            <w:r w:rsidR="00376C19" w:rsidRPr="00EB5BFA">
              <w:rPr>
                <w:rFonts w:ascii="Arial" w:hAnsi="Arial" w:cs="Arial"/>
              </w:rPr>
              <w:t>% apmērā vispārizglītojošā skolā ir tiesības saņemt izglītojamam no ģimenes, kura audzina četrus un vairāk bērnus vecumā līdz 18 gadiem</w:t>
            </w:r>
            <w:r w:rsidR="00605D68" w:rsidRPr="00EB5BFA">
              <w:rPr>
                <w:rFonts w:ascii="Arial" w:hAnsi="Arial" w:cs="Arial"/>
              </w:rPr>
              <w:t>,</w:t>
            </w:r>
            <w:r w:rsidR="00376C19" w:rsidRPr="00EB5BFA">
              <w:rPr>
                <w:rFonts w:ascii="Arial" w:hAnsi="Arial" w:cs="Arial"/>
              </w:rPr>
              <w:t xml:space="preserve"> vai ar I vai II invaliditātes grupu, </w:t>
            </w:r>
            <w:r w:rsidR="00CE55E1" w:rsidRPr="00EB5BFA">
              <w:rPr>
                <w:rFonts w:ascii="Arial" w:hAnsi="Arial" w:cs="Arial"/>
              </w:rPr>
              <w:t>kuras nav sasniegušas 24 gadu vecumu</w:t>
            </w:r>
            <w:r w:rsidR="00E349B2" w:rsidRPr="00EB5BFA">
              <w:rPr>
                <w:rFonts w:ascii="Arial" w:hAnsi="Arial" w:cs="Arial"/>
              </w:rPr>
              <w:t>. B</w:t>
            </w:r>
            <w:r w:rsidR="00376C19" w:rsidRPr="00EB5BFA">
              <w:rPr>
                <w:rFonts w:ascii="Arial" w:hAnsi="Arial" w:cs="Arial"/>
              </w:rPr>
              <w:t>et ja kāds no bērniem turpina mācības vispārējās izglītības vai profesionālās izglītības iestādē dienas maiņā, tad līdz dienai, kad viņš sasniedzis 24 gadu vecumu</w:t>
            </w:r>
            <w:r w:rsidR="0046404C" w:rsidRPr="00EB5BFA">
              <w:rPr>
                <w:rFonts w:ascii="Arial" w:hAnsi="Arial" w:cs="Arial"/>
              </w:rPr>
              <w:t>;</w:t>
            </w:r>
          </w:p>
          <w:p w14:paraId="12F7DCF2" w14:textId="77777777" w:rsidR="00376C19" w:rsidRPr="00EB5BFA" w:rsidRDefault="000C6D07" w:rsidP="000C6D07">
            <w:pPr>
              <w:pStyle w:val="ListParagraph"/>
              <w:spacing w:after="0" w:line="240" w:lineRule="auto"/>
              <w:ind w:left="137" w:right="137"/>
              <w:jc w:val="both"/>
              <w:rPr>
                <w:rFonts w:ascii="Arial" w:hAnsi="Arial" w:cs="Arial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404C" w:rsidRPr="00EB5BFA">
              <w:rPr>
                <w:rFonts w:ascii="Arial" w:hAnsi="Arial" w:cs="Arial"/>
              </w:rPr>
              <w:t>- noteikt, ka atvieglojumu 50% apmērā vispārizglītojošā skolā</w:t>
            </w:r>
            <w:r>
              <w:rPr>
                <w:rFonts w:ascii="Arial" w:hAnsi="Arial" w:cs="Arial"/>
              </w:rPr>
              <w:t xml:space="preserve"> </w:t>
            </w:r>
            <w:r w:rsidR="0046404C" w:rsidRPr="00EB5BFA">
              <w:rPr>
                <w:rFonts w:ascii="Arial" w:hAnsi="Arial" w:cs="Arial"/>
                <w:shd w:val="clear" w:color="auto" w:fill="FFFFFF"/>
                <w:lang w:val="pl-PL"/>
              </w:rPr>
              <w:t>ir tiesības saņemt izglītojamajam no ģimenes, kura audzina trīs bērnus vecumā līdz</w:t>
            </w:r>
            <w:r w:rsidR="00FC3BC7">
              <w:rPr>
                <w:rFonts w:ascii="Arial" w:hAnsi="Arial" w:cs="Arial"/>
                <w:shd w:val="clear" w:color="auto" w:fill="FFFFFF"/>
                <w:lang w:val="pl-PL"/>
              </w:rPr>
              <w:t xml:space="preserve"> </w:t>
            </w:r>
            <w:r w:rsidR="0046404C" w:rsidRPr="00EB5BFA">
              <w:rPr>
                <w:rFonts w:ascii="Arial" w:hAnsi="Arial" w:cs="Arial"/>
                <w:shd w:val="clear" w:color="auto" w:fill="FFFFFF"/>
                <w:lang w:val="pl-PL"/>
              </w:rPr>
              <w:t xml:space="preserve">18 gadiem vai ar I vai II invaliditātes grupu, </w:t>
            </w:r>
            <w:r w:rsidR="00CE55E1" w:rsidRPr="00EB5BFA">
              <w:rPr>
                <w:rFonts w:ascii="Arial" w:hAnsi="Arial" w:cs="Arial"/>
                <w:shd w:val="clear" w:color="auto" w:fill="FFFFFF"/>
                <w:lang w:val="pl-PL"/>
              </w:rPr>
              <w:t>kuras nav sasniegušas 24 gadu vecumu</w:t>
            </w:r>
            <w:r w:rsidR="00CA322C" w:rsidRPr="00EB5BFA">
              <w:rPr>
                <w:rFonts w:ascii="Arial" w:hAnsi="Arial" w:cs="Arial"/>
                <w:shd w:val="clear" w:color="auto" w:fill="FFFFFF"/>
                <w:lang w:val="pl-PL"/>
              </w:rPr>
              <w:t>. B</w:t>
            </w:r>
            <w:r w:rsidR="0046404C" w:rsidRPr="00EB5BFA">
              <w:rPr>
                <w:rFonts w:ascii="Arial" w:hAnsi="Arial" w:cs="Arial"/>
                <w:shd w:val="clear" w:color="auto" w:fill="FFFFFF"/>
                <w:lang w:val="pl-PL"/>
              </w:rPr>
              <w:t>et, ja kāds no bērniem turpina mācības vispārējās izglītības vai profesionālās izglītības iestādes dienas maiņā, tad līdz dienai, kad viņš sasniedz 24 gadu vecumu.</w:t>
            </w:r>
          </w:p>
          <w:p w14:paraId="49E3DAD9" w14:textId="77777777" w:rsidR="003625B4" w:rsidRDefault="000C6D0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shd w:val="clear" w:color="auto" w:fill="FFFFFF"/>
                <w:lang w:val="pl-PL"/>
              </w:rPr>
              <w:t xml:space="preserve">     </w:t>
            </w:r>
            <w:r w:rsidR="00CA322C" w:rsidRPr="00EB5BFA">
              <w:rPr>
                <w:rFonts w:ascii="Arial" w:hAnsi="Arial" w:cs="Arial"/>
                <w:shd w:val="clear" w:color="auto" w:fill="FFFFFF"/>
                <w:lang w:val="pl-PL"/>
              </w:rPr>
              <w:t>Saistošo noteikumu grozījumos tiks n</w:t>
            </w:r>
            <w:r w:rsidR="003625B4" w:rsidRPr="00EB5BFA">
              <w:rPr>
                <w:rFonts w:ascii="Arial" w:hAnsi="Arial" w:cs="Arial"/>
                <w:shd w:val="clear" w:color="auto" w:fill="FFFFFF"/>
                <w:lang w:val="pl-PL"/>
              </w:rPr>
              <w:t>oteikt</w:t>
            </w:r>
            <w:r w:rsidR="00CA322C" w:rsidRPr="00EB5BFA">
              <w:rPr>
                <w:rFonts w:ascii="Arial" w:hAnsi="Arial" w:cs="Arial"/>
                <w:shd w:val="clear" w:color="auto" w:fill="FFFFFF"/>
                <w:lang w:val="pl-PL"/>
              </w:rPr>
              <w:t>s,</w:t>
            </w:r>
            <w:r w:rsidR="003625B4" w:rsidRPr="00EB5BFA">
              <w:rPr>
                <w:rFonts w:ascii="Arial" w:hAnsi="Arial" w:cs="Arial"/>
                <w:shd w:val="clear" w:color="auto" w:fill="FFFFFF"/>
                <w:lang w:val="pl-PL"/>
              </w:rPr>
              <w:t xml:space="preserve"> ka primārais saziņas kanāls starp pašvaldību un privātpersonu ir oficiālā elektroniskā adrese</w:t>
            </w:r>
            <w:r w:rsidR="00CA322C" w:rsidRPr="00EB5BFA">
              <w:rPr>
                <w:rFonts w:ascii="Arial" w:hAnsi="Arial" w:cs="Arial"/>
                <w:shd w:val="clear" w:color="auto" w:fill="FFFFFF"/>
                <w:lang w:val="pl-PL"/>
              </w:rPr>
              <w:t xml:space="preserve">, ja </w:t>
            </w:r>
            <w:r w:rsidR="007E4CFC" w:rsidRPr="00EB5BFA">
              <w:rPr>
                <w:rFonts w:ascii="Arial" w:hAnsi="Arial" w:cs="Arial"/>
                <w:shd w:val="clear" w:color="auto" w:fill="FFFFFF"/>
                <w:lang w:val="pl-PL"/>
              </w:rPr>
              <w:t xml:space="preserve">atvieglojumu pieprasītājam </w:t>
            </w:r>
            <w:r w:rsidR="00CA322C" w:rsidRPr="00EB5BFA">
              <w:rPr>
                <w:rFonts w:ascii="Arial" w:hAnsi="Arial" w:cs="Arial"/>
                <w:shd w:val="clear" w:color="auto" w:fill="FFFFFF"/>
                <w:lang w:val="pl-PL"/>
              </w:rPr>
              <w:t>tāda ir izveidota.</w:t>
            </w:r>
          </w:p>
          <w:p w14:paraId="454F93BE" w14:textId="77777777" w:rsidR="000C6D07" w:rsidRPr="000C6D07" w:rsidRDefault="000C6D0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2"/>
                <w:szCs w:val="12"/>
                <w:shd w:val="clear" w:color="auto" w:fill="FFFFFF"/>
                <w:lang w:val="pl-PL"/>
              </w:rPr>
            </w:pPr>
          </w:p>
          <w:p w14:paraId="18E3C2DB" w14:textId="77777777" w:rsidR="000C6D07" w:rsidRPr="000C6D07" w:rsidRDefault="000C6D0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2"/>
                <w:szCs w:val="12"/>
                <w:shd w:val="clear" w:color="auto" w:fill="FFFFFF"/>
                <w:lang w:val="pl-PL"/>
              </w:rPr>
            </w:pPr>
          </w:p>
        </w:tc>
      </w:tr>
      <w:tr w:rsidR="00376C19" w:rsidRPr="00EB5BFA" w14:paraId="347385D4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E4746" w14:textId="77777777" w:rsidR="00376C19" w:rsidRPr="00C653C7" w:rsidRDefault="00376C19" w:rsidP="000C6D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lastRenderedPageBreak/>
              <w:t>Informācija par plānoto projekta ietekmi uz pašvaldības budžetu</w:t>
            </w: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11D53" w14:textId="77777777" w:rsidR="00376C19" w:rsidRPr="00EB5BFA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noProof/>
              </w:rPr>
            </w:pPr>
            <w:r w:rsidRPr="00EB5BFA">
              <w:rPr>
                <w:rFonts w:ascii="Arial" w:hAnsi="Arial" w:cs="Arial"/>
              </w:rPr>
              <w:t xml:space="preserve">    </w:t>
            </w:r>
            <w:r w:rsidR="000C6D0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 xml:space="preserve">Saskaņā ar Liepājas </w:t>
            </w:r>
            <w:r w:rsidRPr="00EB5BFA">
              <w:rPr>
                <w:rFonts w:ascii="Arial" w:hAnsi="Arial" w:cs="Arial"/>
                <w:noProof/>
              </w:rPr>
              <w:t>valstspilsētas pašvaldības domes 2022.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Pr="00EB5BFA">
              <w:rPr>
                <w:rFonts w:ascii="Arial" w:hAnsi="Arial" w:cs="Arial"/>
                <w:noProof/>
              </w:rPr>
              <w:t>gada 17.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Pr="00EB5BFA">
              <w:rPr>
                <w:rFonts w:ascii="Arial" w:hAnsi="Arial" w:cs="Arial"/>
                <w:noProof/>
              </w:rPr>
              <w:t>marta saistoš</w:t>
            </w:r>
            <w:r w:rsidR="00CA6DD8" w:rsidRPr="00EB5BFA">
              <w:rPr>
                <w:rFonts w:ascii="Arial" w:hAnsi="Arial" w:cs="Arial"/>
                <w:noProof/>
              </w:rPr>
              <w:t>aj</w:t>
            </w:r>
            <w:r w:rsidRPr="00EB5BFA">
              <w:rPr>
                <w:rFonts w:ascii="Arial" w:hAnsi="Arial" w:cs="Arial"/>
                <w:noProof/>
              </w:rPr>
              <w:t>iem noteikumiem Nr.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Pr="00EB5BFA">
              <w:rPr>
                <w:rFonts w:ascii="Arial" w:hAnsi="Arial" w:cs="Arial"/>
                <w:noProof/>
              </w:rPr>
              <w:t xml:space="preserve">6, ēdināšanas izdevumu segšanai </w:t>
            </w:r>
            <w:r w:rsidR="007E4CFC" w:rsidRPr="00EB5BFA">
              <w:rPr>
                <w:rFonts w:ascii="Arial" w:hAnsi="Arial" w:cs="Arial"/>
                <w:noProof/>
              </w:rPr>
              <w:t xml:space="preserve">Latvijas goda ģimenēm (3+ bērnu skaits) </w:t>
            </w:r>
            <w:r w:rsidRPr="00EB5BFA">
              <w:rPr>
                <w:rFonts w:ascii="Arial" w:hAnsi="Arial" w:cs="Arial"/>
                <w:noProof/>
              </w:rPr>
              <w:t>pašvaldības pirmsskolas izglītības iestādēs no 2022.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Pr="00EB5BFA">
              <w:rPr>
                <w:rFonts w:ascii="Arial" w:hAnsi="Arial" w:cs="Arial"/>
                <w:noProof/>
              </w:rPr>
              <w:t>gada 1.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Pr="00EB5BFA">
              <w:rPr>
                <w:rFonts w:ascii="Arial" w:hAnsi="Arial" w:cs="Arial"/>
                <w:noProof/>
              </w:rPr>
              <w:t xml:space="preserve">septembra piešķirti 71 356 </w:t>
            </w:r>
            <w:r w:rsidR="005734C2" w:rsidRPr="000C6D07">
              <w:rPr>
                <w:rFonts w:ascii="Arial" w:hAnsi="Arial" w:cs="Arial"/>
                <w:i/>
                <w:iCs/>
                <w:noProof/>
              </w:rPr>
              <w:t>e</w:t>
            </w:r>
            <w:r w:rsidR="000C6D07" w:rsidRPr="000C6D07">
              <w:rPr>
                <w:rFonts w:ascii="Arial" w:hAnsi="Arial" w:cs="Arial"/>
                <w:i/>
                <w:iCs/>
                <w:noProof/>
              </w:rPr>
              <w:t>u</w:t>
            </w:r>
            <w:r w:rsidR="005734C2" w:rsidRPr="000C6D07">
              <w:rPr>
                <w:rFonts w:ascii="Arial" w:hAnsi="Arial" w:cs="Arial"/>
                <w:i/>
                <w:iCs/>
                <w:noProof/>
              </w:rPr>
              <w:t>ro</w:t>
            </w:r>
            <w:r w:rsidRPr="00EB5BFA">
              <w:rPr>
                <w:rFonts w:ascii="Arial" w:hAnsi="Arial" w:cs="Arial"/>
                <w:noProof/>
              </w:rPr>
              <w:t xml:space="preserve">. Liepājas pirmsskolas izglītības iestādes apmeklē </w:t>
            </w:r>
            <w:r w:rsidR="00960887">
              <w:rPr>
                <w:rFonts w:ascii="Arial" w:hAnsi="Arial" w:cs="Arial"/>
                <w:noProof/>
              </w:rPr>
              <w:t xml:space="preserve">                 </w:t>
            </w:r>
            <w:r w:rsidRPr="00EB5BFA">
              <w:rPr>
                <w:rFonts w:ascii="Arial" w:hAnsi="Arial" w:cs="Arial"/>
                <w:noProof/>
              </w:rPr>
              <w:t>645 audzēkņi no ģimenēm, kuras audzina trīs un vairāk bērnus vecumā līdz 16 gadiem.</w:t>
            </w:r>
          </w:p>
          <w:p w14:paraId="0F8ECB47" w14:textId="77777777" w:rsidR="00631F18" w:rsidRDefault="001D558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 w:rsidRPr="00EB5BFA">
              <w:rPr>
                <w:rFonts w:ascii="Arial" w:hAnsi="Arial" w:cs="Arial"/>
                <w:noProof/>
              </w:rPr>
              <w:t xml:space="preserve">   </w:t>
            </w:r>
            <w:r w:rsidR="00960887">
              <w:rPr>
                <w:rFonts w:ascii="Arial" w:hAnsi="Arial" w:cs="Arial"/>
                <w:noProof/>
              </w:rPr>
              <w:t xml:space="preserve">  </w:t>
            </w:r>
            <w:r w:rsidR="00631F18" w:rsidRPr="00EB5BFA">
              <w:rPr>
                <w:rFonts w:ascii="Arial" w:hAnsi="Arial" w:cs="Arial"/>
                <w:noProof/>
              </w:rPr>
              <w:t>Indikatīvi papildus nepieciešamais pašvaldības finansējums  saistībā ar saistošo noteikumu Nr.</w:t>
            </w:r>
            <w:r w:rsidR="00FC3BC7">
              <w:rPr>
                <w:rFonts w:ascii="Arial" w:hAnsi="Arial" w:cs="Arial"/>
                <w:noProof/>
              </w:rPr>
              <w:t xml:space="preserve"> </w:t>
            </w:r>
            <w:r w:rsidR="00631F18" w:rsidRPr="00EB5BFA">
              <w:rPr>
                <w:rFonts w:ascii="Arial" w:hAnsi="Arial" w:cs="Arial"/>
                <w:noProof/>
              </w:rPr>
              <w:t xml:space="preserve">13 grozījumos noteikto ēdināšanas atvieglojumu pretendentu vecuma (no 20 līdz 24 gadiem) un skaita palielināšanu no 2022.gada septembra līdz decembrim ir 25 985 </w:t>
            </w:r>
            <w:r w:rsidR="005734C2" w:rsidRPr="00960887">
              <w:rPr>
                <w:rFonts w:ascii="Arial" w:hAnsi="Arial" w:cs="Arial"/>
                <w:i/>
                <w:iCs/>
                <w:noProof/>
              </w:rPr>
              <w:t>e</w:t>
            </w:r>
            <w:r w:rsidR="00960887" w:rsidRPr="00960887">
              <w:rPr>
                <w:rFonts w:ascii="Arial" w:hAnsi="Arial" w:cs="Arial"/>
                <w:i/>
                <w:iCs/>
                <w:noProof/>
              </w:rPr>
              <w:t>u</w:t>
            </w:r>
            <w:r w:rsidR="005734C2" w:rsidRPr="00960887">
              <w:rPr>
                <w:rFonts w:ascii="Arial" w:hAnsi="Arial" w:cs="Arial"/>
                <w:i/>
                <w:iCs/>
                <w:noProof/>
              </w:rPr>
              <w:t>ro</w:t>
            </w:r>
            <w:r w:rsidR="00631F18" w:rsidRPr="00EB5BFA">
              <w:rPr>
                <w:rFonts w:ascii="Arial" w:hAnsi="Arial" w:cs="Arial"/>
              </w:rPr>
              <w:t>.</w:t>
            </w:r>
          </w:p>
          <w:p w14:paraId="74191943" w14:textId="77777777" w:rsidR="00960887" w:rsidRPr="00960887" w:rsidRDefault="0096088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1EB2192" w14:textId="77777777" w:rsidR="00960887" w:rsidRPr="00960887" w:rsidRDefault="00960887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6C19" w:rsidRPr="00EB5BFA" w14:paraId="0D22050E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E1DACD" w14:textId="77777777" w:rsidR="00376C19" w:rsidRDefault="00376C19" w:rsidP="009608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t>Informācija par plānoto projekta ietekmi uz uzņēmējdarbības vidi pašvaldības teritorijā</w:t>
            </w:r>
          </w:p>
          <w:p w14:paraId="4993D193" w14:textId="77777777" w:rsidR="009049A9" w:rsidRPr="009049A9" w:rsidRDefault="009049A9" w:rsidP="009049A9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  <w:p w14:paraId="46DBCBD8" w14:textId="77777777" w:rsidR="00960887" w:rsidRPr="00960887" w:rsidRDefault="00960887" w:rsidP="00960887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27F655" w14:textId="77777777" w:rsidR="00376C19" w:rsidRPr="00A747EC" w:rsidRDefault="00376C19" w:rsidP="000C6D07">
            <w:pPr>
              <w:pStyle w:val="tv213"/>
              <w:shd w:val="clear" w:color="auto" w:fill="FFFFFF"/>
              <w:spacing w:before="0" w:beforeAutospacing="0" w:after="0" w:afterAutospacing="0"/>
              <w:ind w:left="137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9608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4729">
              <w:rPr>
                <w:rFonts w:ascii="Arial" w:hAnsi="Arial" w:cs="Arial"/>
                <w:sz w:val="22"/>
                <w:szCs w:val="22"/>
              </w:rPr>
              <w:t>Uzņēmējdarbības vidi lēmums neietekmē.</w:t>
            </w:r>
          </w:p>
        </w:tc>
      </w:tr>
      <w:tr w:rsidR="00376C19" w:rsidRPr="00EB5BFA" w14:paraId="30487453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28AC65" w14:textId="77777777" w:rsidR="00376C19" w:rsidRPr="00C653C7" w:rsidRDefault="00376C19" w:rsidP="009608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t>Informācija par administratīvajām procedūrām</w:t>
            </w: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6A9561" w14:textId="77777777" w:rsidR="008A0236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  <w:r w:rsidRPr="00EB5BFA">
              <w:rPr>
                <w:rFonts w:ascii="Arial" w:hAnsi="Arial" w:cs="Arial"/>
              </w:rPr>
              <w:t xml:space="preserve">    </w:t>
            </w:r>
            <w:r w:rsidR="00960887">
              <w:rPr>
                <w:rFonts w:ascii="Arial" w:hAnsi="Arial" w:cs="Arial"/>
              </w:rPr>
              <w:t xml:space="preserve"> </w:t>
            </w:r>
            <w:r w:rsidRPr="00EB5BFA">
              <w:rPr>
                <w:rFonts w:ascii="Arial" w:hAnsi="Arial" w:cs="Arial"/>
              </w:rPr>
              <w:t xml:space="preserve">Saistošo noteikumu grozījumi tiks nosūtīti izvērtēšanai un atzinuma sniegšanai Vides aizsardzības un reģionālās attīstības ministrijai. Pēc pozitīva atzinuma saņemšanas tiks publicēti oficiālajā izdevumā </w:t>
            </w:r>
            <w:r w:rsidR="008A0236" w:rsidRPr="00EB5BFA">
              <w:rPr>
                <w:rFonts w:ascii="Arial" w:hAnsi="Arial" w:cs="Arial"/>
              </w:rPr>
              <w:t>"</w:t>
            </w:r>
            <w:r w:rsidRPr="00EB5BFA">
              <w:rPr>
                <w:rFonts w:ascii="Arial" w:hAnsi="Arial" w:cs="Arial"/>
              </w:rPr>
              <w:t>Latvijas Vēstnesis</w:t>
            </w:r>
            <w:r w:rsidR="008A0236" w:rsidRPr="00EB5BFA">
              <w:rPr>
                <w:rFonts w:ascii="Arial" w:hAnsi="Arial" w:cs="Arial"/>
              </w:rPr>
              <w:t>"</w:t>
            </w:r>
            <w:r w:rsidRPr="00EB5BFA">
              <w:rPr>
                <w:rFonts w:ascii="Arial" w:hAnsi="Arial" w:cs="Arial"/>
              </w:rPr>
              <w:t xml:space="preserve">, Liepājas valstspilsētas pašvaldības tīmekļa vietnē </w:t>
            </w:r>
            <w:hyperlink r:id="rId5" w:history="1">
              <w:r w:rsidR="008A0236" w:rsidRPr="005636BA">
                <w:rPr>
                  <w:rStyle w:val="Hyperlink"/>
                  <w:rFonts w:ascii="Arial" w:hAnsi="Arial" w:cs="Arial"/>
                </w:rPr>
                <w:t>www.liepaja.lv</w:t>
              </w:r>
            </w:hyperlink>
            <w:r w:rsidR="008A0236">
              <w:rPr>
                <w:rFonts w:ascii="Arial" w:hAnsi="Arial" w:cs="Arial"/>
              </w:rPr>
              <w:t>.</w:t>
            </w:r>
          </w:p>
          <w:p w14:paraId="2FF1794A" w14:textId="77777777" w:rsidR="00376C19" w:rsidRPr="008A0236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B5BFA">
              <w:rPr>
                <w:rFonts w:ascii="Arial" w:hAnsi="Arial" w:cs="Arial"/>
              </w:rPr>
              <w:t xml:space="preserve"> </w:t>
            </w:r>
          </w:p>
          <w:p w14:paraId="5DC6D78F" w14:textId="77777777" w:rsidR="00376C19" w:rsidRPr="00EB5BFA" w:rsidRDefault="00376C19" w:rsidP="000C6D07">
            <w:pPr>
              <w:spacing w:after="0" w:line="240" w:lineRule="auto"/>
              <w:ind w:left="137" w:right="137"/>
              <w:jc w:val="both"/>
              <w:rPr>
                <w:rFonts w:ascii="Arial" w:hAnsi="Arial" w:cs="Arial"/>
              </w:rPr>
            </w:pPr>
          </w:p>
        </w:tc>
      </w:tr>
      <w:tr w:rsidR="00376C19" w:rsidRPr="00EB5BFA" w14:paraId="55B0EA1E" w14:textId="77777777">
        <w:trPr>
          <w:trHeight w:val="150"/>
        </w:trPr>
        <w:tc>
          <w:tcPr>
            <w:tcW w:w="149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A352CA" w14:textId="77777777" w:rsidR="00376C19" w:rsidRDefault="00376C19" w:rsidP="008A02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39" w:hanging="239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C653C7">
              <w:rPr>
                <w:rFonts w:ascii="Arial" w:eastAsia="Times New Roman" w:hAnsi="Arial" w:cs="Arial"/>
                <w:lang w:eastAsia="lv-LV"/>
              </w:rPr>
              <w:t>Informācija par konsultācijām ar privātpersonām</w:t>
            </w:r>
          </w:p>
          <w:p w14:paraId="22AC09E5" w14:textId="77777777" w:rsidR="009049A9" w:rsidRPr="009049A9" w:rsidRDefault="009049A9" w:rsidP="009049A9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  <w:p w14:paraId="3D0448FE" w14:textId="77777777" w:rsidR="008A0236" w:rsidRPr="008A0236" w:rsidRDefault="008A0236" w:rsidP="008A0236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2"/>
                <w:szCs w:val="12"/>
                <w:lang w:eastAsia="lv-LV"/>
              </w:rPr>
            </w:pPr>
          </w:p>
        </w:tc>
        <w:tc>
          <w:tcPr>
            <w:tcW w:w="35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7117F4" w14:textId="77777777" w:rsidR="00376C19" w:rsidRPr="00A747EC" w:rsidRDefault="00376C19" w:rsidP="000C6D07">
            <w:pPr>
              <w:pStyle w:val="tv213"/>
              <w:shd w:val="clear" w:color="auto" w:fill="FFFFFF"/>
              <w:spacing w:before="0" w:beforeAutospacing="0" w:after="0" w:afterAutospacing="0"/>
              <w:ind w:left="137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A02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4492">
              <w:rPr>
                <w:rFonts w:ascii="Arial" w:hAnsi="Arial" w:cs="Arial"/>
                <w:sz w:val="22"/>
                <w:szCs w:val="22"/>
              </w:rPr>
              <w:t>Nav nepieciešamas.</w:t>
            </w:r>
          </w:p>
        </w:tc>
      </w:tr>
    </w:tbl>
    <w:p w14:paraId="7F12721D" w14:textId="77777777" w:rsidR="00847E5C" w:rsidRPr="003D4479" w:rsidRDefault="00847E5C" w:rsidP="00847E5C">
      <w:pPr>
        <w:rPr>
          <w:rFonts w:ascii="Arial" w:hAnsi="Arial" w:cs="Arial"/>
        </w:rPr>
      </w:pPr>
    </w:p>
    <w:p w14:paraId="01B0ADFD" w14:textId="77777777" w:rsidR="00D0624E" w:rsidRPr="00054492" w:rsidRDefault="00D0624E" w:rsidP="00D0624E">
      <w:pPr>
        <w:rPr>
          <w:rFonts w:ascii="Arial" w:hAnsi="Arial" w:cs="Arial"/>
        </w:rPr>
      </w:pPr>
      <w:r w:rsidRPr="00054492">
        <w:rPr>
          <w:rFonts w:ascii="Arial" w:hAnsi="Arial" w:cs="Arial"/>
        </w:rPr>
        <w:t>Domes priekšsēdētājs</w:t>
      </w:r>
      <w:r w:rsidRPr="00054492">
        <w:rPr>
          <w:rFonts w:ascii="Arial" w:hAnsi="Arial" w:cs="Arial"/>
        </w:rPr>
        <w:tab/>
      </w:r>
      <w:r w:rsidRPr="00054492">
        <w:rPr>
          <w:rFonts w:ascii="Arial" w:hAnsi="Arial" w:cs="Arial"/>
        </w:rPr>
        <w:tab/>
      </w:r>
      <w:r w:rsidRPr="00054492">
        <w:rPr>
          <w:rFonts w:ascii="Arial" w:hAnsi="Arial" w:cs="Arial"/>
        </w:rPr>
        <w:tab/>
      </w:r>
      <w:r w:rsidRPr="00054492">
        <w:rPr>
          <w:rFonts w:ascii="Arial" w:hAnsi="Arial" w:cs="Arial"/>
        </w:rPr>
        <w:tab/>
      </w:r>
      <w:r w:rsidRPr="0005449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Gunārs </w:t>
      </w:r>
      <w:r>
        <w:rPr>
          <w:rFonts w:ascii="Arial" w:hAnsi="Arial" w:cs="Arial"/>
          <w:noProof/>
        </w:rPr>
        <w:t>Ansiņš</w:t>
      </w:r>
    </w:p>
    <w:p w14:paraId="720F624D" w14:textId="77777777" w:rsidR="00847E5C" w:rsidRPr="00D63931" w:rsidRDefault="00847E5C" w:rsidP="00847E5C"/>
    <w:p w14:paraId="533B284C" w14:textId="77777777" w:rsidR="00052671" w:rsidRPr="00847E5C" w:rsidRDefault="00052671" w:rsidP="00847E5C"/>
    <w:sectPr w:rsidR="00052671" w:rsidRPr="00847E5C" w:rsidSect="000C6D07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F07"/>
    <w:multiLevelType w:val="hybridMultilevel"/>
    <w:tmpl w:val="8DA2F510"/>
    <w:lvl w:ilvl="0" w:tplc="6916DB6E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8E4"/>
    <w:multiLevelType w:val="hybridMultilevel"/>
    <w:tmpl w:val="18AE142C"/>
    <w:lvl w:ilvl="0" w:tplc="78944F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1738"/>
    <w:multiLevelType w:val="hybridMultilevel"/>
    <w:tmpl w:val="E7042E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2C09"/>
    <w:multiLevelType w:val="hybridMultilevel"/>
    <w:tmpl w:val="298AF0F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92772"/>
    <w:multiLevelType w:val="hybridMultilevel"/>
    <w:tmpl w:val="284E94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568F"/>
    <w:multiLevelType w:val="hybridMultilevel"/>
    <w:tmpl w:val="B184AC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5713"/>
    <w:multiLevelType w:val="hybridMultilevel"/>
    <w:tmpl w:val="569CF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D6963"/>
    <w:multiLevelType w:val="multilevel"/>
    <w:tmpl w:val="88F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3D4983"/>
    <w:multiLevelType w:val="hybridMultilevel"/>
    <w:tmpl w:val="B30092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31685">
    <w:abstractNumId w:val="7"/>
  </w:num>
  <w:num w:numId="2" w16cid:durableId="385448888">
    <w:abstractNumId w:val="5"/>
  </w:num>
  <w:num w:numId="3" w16cid:durableId="930285209">
    <w:abstractNumId w:val="1"/>
  </w:num>
  <w:num w:numId="4" w16cid:durableId="91559395">
    <w:abstractNumId w:val="4"/>
  </w:num>
  <w:num w:numId="5" w16cid:durableId="141121395">
    <w:abstractNumId w:val="0"/>
  </w:num>
  <w:num w:numId="6" w16cid:durableId="1960604569">
    <w:abstractNumId w:val="8"/>
  </w:num>
  <w:num w:numId="7" w16cid:durableId="1063911512">
    <w:abstractNumId w:val="6"/>
  </w:num>
  <w:num w:numId="8" w16cid:durableId="793712774">
    <w:abstractNumId w:val="3"/>
  </w:num>
  <w:num w:numId="9" w16cid:durableId="201268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B8"/>
    <w:rsid w:val="000167CF"/>
    <w:rsid w:val="00052671"/>
    <w:rsid w:val="000554D4"/>
    <w:rsid w:val="00056BDD"/>
    <w:rsid w:val="0007356D"/>
    <w:rsid w:val="00077ED3"/>
    <w:rsid w:val="00082091"/>
    <w:rsid w:val="00087DB3"/>
    <w:rsid w:val="000929F4"/>
    <w:rsid w:val="000944C9"/>
    <w:rsid w:val="000B677E"/>
    <w:rsid w:val="000C5F53"/>
    <w:rsid w:val="000C6D07"/>
    <w:rsid w:val="000D71B8"/>
    <w:rsid w:val="0010540F"/>
    <w:rsid w:val="001166BA"/>
    <w:rsid w:val="00155E72"/>
    <w:rsid w:val="00184DDC"/>
    <w:rsid w:val="00191BAC"/>
    <w:rsid w:val="00197A9A"/>
    <w:rsid w:val="001D5589"/>
    <w:rsid w:val="00201B1F"/>
    <w:rsid w:val="00216569"/>
    <w:rsid w:val="00246ADC"/>
    <w:rsid w:val="002528E7"/>
    <w:rsid w:val="002531FB"/>
    <w:rsid w:val="00260185"/>
    <w:rsid w:val="00283180"/>
    <w:rsid w:val="00286C23"/>
    <w:rsid w:val="002B7AAD"/>
    <w:rsid w:val="002D6330"/>
    <w:rsid w:val="00300320"/>
    <w:rsid w:val="003625B4"/>
    <w:rsid w:val="00376C19"/>
    <w:rsid w:val="003E0E3E"/>
    <w:rsid w:val="003F4C40"/>
    <w:rsid w:val="00410FEE"/>
    <w:rsid w:val="00411D22"/>
    <w:rsid w:val="0046404C"/>
    <w:rsid w:val="00493916"/>
    <w:rsid w:val="004A15DB"/>
    <w:rsid w:val="004E5A24"/>
    <w:rsid w:val="004F1B0A"/>
    <w:rsid w:val="00541BD7"/>
    <w:rsid w:val="005734C2"/>
    <w:rsid w:val="00574A0A"/>
    <w:rsid w:val="00574AE4"/>
    <w:rsid w:val="005B0238"/>
    <w:rsid w:val="005F73F1"/>
    <w:rsid w:val="00605D68"/>
    <w:rsid w:val="00613F15"/>
    <w:rsid w:val="00631F18"/>
    <w:rsid w:val="006321D2"/>
    <w:rsid w:val="00633B5C"/>
    <w:rsid w:val="00657290"/>
    <w:rsid w:val="006925D9"/>
    <w:rsid w:val="006949EE"/>
    <w:rsid w:val="006A22AF"/>
    <w:rsid w:val="006A57A7"/>
    <w:rsid w:val="006A5872"/>
    <w:rsid w:val="006C7263"/>
    <w:rsid w:val="006F31B1"/>
    <w:rsid w:val="006F64DB"/>
    <w:rsid w:val="007D4BAB"/>
    <w:rsid w:val="007E4CFC"/>
    <w:rsid w:val="007F1B91"/>
    <w:rsid w:val="00811A32"/>
    <w:rsid w:val="0083489C"/>
    <w:rsid w:val="008375F6"/>
    <w:rsid w:val="00847E5C"/>
    <w:rsid w:val="00861BE0"/>
    <w:rsid w:val="00870AC7"/>
    <w:rsid w:val="008A0236"/>
    <w:rsid w:val="009049A9"/>
    <w:rsid w:val="009179AA"/>
    <w:rsid w:val="0092347A"/>
    <w:rsid w:val="0095492D"/>
    <w:rsid w:val="00960887"/>
    <w:rsid w:val="009809A4"/>
    <w:rsid w:val="00993CE3"/>
    <w:rsid w:val="009D6215"/>
    <w:rsid w:val="009D7687"/>
    <w:rsid w:val="009E59A9"/>
    <w:rsid w:val="00A46633"/>
    <w:rsid w:val="00A747EC"/>
    <w:rsid w:val="00A75362"/>
    <w:rsid w:val="00AC6BAC"/>
    <w:rsid w:val="00AD3C53"/>
    <w:rsid w:val="00AF5D0F"/>
    <w:rsid w:val="00B02435"/>
    <w:rsid w:val="00B03639"/>
    <w:rsid w:val="00B204CC"/>
    <w:rsid w:val="00B2332D"/>
    <w:rsid w:val="00BA0501"/>
    <w:rsid w:val="00BB0B13"/>
    <w:rsid w:val="00BB63E1"/>
    <w:rsid w:val="00BE3F82"/>
    <w:rsid w:val="00C1662B"/>
    <w:rsid w:val="00C3065F"/>
    <w:rsid w:val="00C4046F"/>
    <w:rsid w:val="00C653C7"/>
    <w:rsid w:val="00C96082"/>
    <w:rsid w:val="00CA322C"/>
    <w:rsid w:val="00CA6DD8"/>
    <w:rsid w:val="00CB03BA"/>
    <w:rsid w:val="00CB0967"/>
    <w:rsid w:val="00CC2E0B"/>
    <w:rsid w:val="00CE55E1"/>
    <w:rsid w:val="00D0624E"/>
    <w:rsid w:val="00D11C59"/>
    <w:rsid w:val="00D70BFD"/>
    <w:rsid w:val="00DA33A3"/>
    <w:rsid w:val="00DC2D07"/>
    <w:rsid w:val="00DE3735"/>
    <w:rsid w:val="00E349B2"/>
    <w:rsid w:val="00E80B91"/>
    <w:rsid w:val="00E82A07"/>
    <w:rsid w:val="00E84535"/>
    <w:rsid w:val="00E91661"/>
    <w:rsid w:val="00EB135D"/>
    <w:rsid w:val="00EB5BFA"/>
    <w:rsid w:val="00EB5D75"/>
    <w:rsid w:val="00EF241B"/>
    <w:rsid w:val="00F6087D"/>
    <w:rsid w:val="00F6460C"/>
    <w:rsid w:val="00F671A1"/>
    <w:rsid w:val="00F67ABE"/>
    <w:rsid w:val="00FA2FBE"/>
    <w:rsid w:val="00FA6650"/>
    <w:rsid w:val="00FC3BC7"/>
    <w:rsid w:val="00FD51D3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455C"/>
  <w15:chartTrackingRefBased/>
  <w15:docId w15:val="{5646A6D8-0461-4043-A504-23FE0D9F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7F1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71B8"/>
  </w:style>
  <w:style w:type="character" w:styleId="Hyperlink">
    <w:name w:val="Hyperlink"/>
    <w:uiPriority w:val="99"/>
    <w:unhideWhenUsed/>
    <w:rsid w:val="000D71B8"/>
    <w:rPr>
      <w:color w:val="0000FF"/>
      <w:u w:val="single"/>
    </w:rPr>
  </w:style>
  <w:style w:type="paragraph" w:customStyle="1" w:styleId="tvhtml">
    <w:name w:val="tv_html"/>
    <w:basedOn w:val="Normal"/>
    <w:rsid w:val="000D7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93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253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63E1"/>
    <w:pPr>
      <w:ind w:left="720"/>
      <w:contextualSpacing/>
    </w:pPr>
  </w:style>
  <w:style w:type="character" w:customStyle="1" w:styleId="Neatrisintapieminana1">
    <w:name w:val="Neatrisināta pieminēšana1"/>
    <w:uiPriority w:val="99"/>
    <w:semiHidden/>
    <w:unhideWhenUsed/>
    <w:rsid w:val="00BE3F82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7F1B91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Strong">
    <w:name w:val="Strong"/>
    <w:qFormat/>
    <w:rsid w:val="007F1B91"/>
    <w:rPr>
      <w:b/>
      <w:bCs/>
    </w:rPr>
  </w:style>
  <w:style w:type="paragraph" w:styleId="Title">
    <w:name w:val="Title"/>
    <w:basedOn w:val="Normal"/>
    <w:link w:val="TitleChar"/>
    <w:qFormat/>
    <w:rsid w:val="00F67AB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TitleChar">
    <w:name w:val="Title Char"/>
    <w:link w:val="Title"/>
    <w:rsid w:val="00F67ABE"/>
    <w:rPr>
      <w:rFonts w:ascii="Times New Roman" w:eastAsia="Times New Roman" w:hAnsi="Times New Roman" w:cs="Times New Roman"/>
      <w:sz w:val="28"/>
      <w:szCs w:val="24"/>
    </w:rPr>
  </w:style>
  <w:style w:type="paragraph" w:styleId="Revision">
    <w:name w:val="Revision"/>
    <w:hidden/>
    <w:uiPriority w:val="99"/>
    <w:semiHidden/>
    <w:rsid w:val="006321D2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C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6B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B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CFC"/>
    <w:rPr>
      <w:rFonts w:ascii="Segoe UI" w:hAnsi="Segoe UI" w:cs="Segoe UI"/>
      <w:sz w:val="18"/>
      <w:szCs w:val="18"/>
    </w:rPr>
  </w:style>
  <w:style w:type="character" w:customStyle="1" w:styleId="Neatrisintapieminana">
    <w:name w:val="Neatrisināta pieminēšana"/>
    <w:uiPriority w:val="99"/>
    <w:semiHidden/>
    <w:unhideWhenUsed/>
    <w:rsid w:val="008A0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4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39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8451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7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43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660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748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5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epa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Links>
    <vt:vector size="6" baseType="variant"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Sintija Biša</cp:lastModifiedBy>
  <cp:revision>2</cp:revision>
  <cp:lastPrinted>2022-08-15T08:08:00Z</cp:lastPrinted>
  <dcterms:created xsi:type="dcterms:W3CDTF">2022-08-23T07:49:00Z</dcterms:created>
  <dcterms:modified xsi:type="dcterms:W3CDTF">2022-08-23T07:49:00Z</dcterms:modified>
</cp:coreProperties>
</file>