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2D293" w14:textId="77777777" w:rsidR="00170F5A" w:rsidRPr="00170F5A" w:rsidRDefault="00170F5A" w:rsidP="006D3EF7">
      <w:pPr>
        <w:jc w:val="center"/>
        <w:rPr>
          <w:rFonts w:ascii="Arial" w:hAnsi="Arial" w:cs="Arial"/>
          <w:bCs/>
        </w:rPr>
      </w:pPr>
    </w:p>
    <w:p w14:paraId="41550C5F" w14:textId="77777777" w:rsidR="00170F5A" w:rsidRPr="00170F5A" w:rsidRDefault="00000000" w:rsidP="00B752B3">
      <w:pPr>
        <w:spacing w:after="0" w:line="240" w:lineRule="auto"/>
        <w:jc w:val="center"/>
        <w:rPr>
          <w:rFonts w:ascii="Arial" w:hAnsi="Arial" w:cs="Arial"/>
        </w:rPr>
      </w:pPr>
      <w:r w:rsidRPr="00170F5A">
        <w:rPr>
          <w:rFonts w:ascii="Arial" w:hAnsi="Arial" w:cs="Arial"/>
          <w:b/>
          <w:bCs/>
        </w:rPr>
        <w:t>LĒMUMS</w:t>
      </w:r>
    </w:p>
    <w:p w14:paraId="76C8707A" w14:textId="77777777" w:rsidR="00170F5A" w:rsidRPr="00170F5A" w:rsidRDefault="00000000" w:rsidP="00B752B3">
      <w:pPr>
        <w:spacing w:after="0" w:line="240" w:lineRule="auto"/>
        <w:jc w:val="center"/>
        <w:rPr>
          <w:rFonts w:ascii="Arial" w:hAnsi="Arial" w:cs="Arial"/>
        </w:rPr>
      </w:pPr>
      <w:r w:rsidRPr="00170F5A">
        <w:rPr>
          <w:rFonts w:ascii="Arial" w:hAnsi="Arial" w:cs="Arial"/>
        </w:rPr>
        <w:t>Liepājā</w:t>
      </w:r>
    </w:p>
    <w:p w14:paraId="028FF29B" w14:textId="77777777" w:rsidR="00170F5A" w:rsidRPr="00B752B3" w:rsidRDefault="00170F5A" w:rsidP="00B752B3">
      <w:pPr>
        <w:jc w:val="center"/>
        <w:rPr>
          <w:rFonts w:ascii="Arial" w:hAnsi="Arial" w:cs="Arial"/>
          <w:sz w:val="8"/>
          <w:szCs w:val="8"/>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6D183F" w14:paraId="006C203F" w14:textId="77777777" w:rsidTr="00B961AC">
        <w:tc>
          <w:tcPr>
            <w:tcW w:w="4728" w:type="dxa"/>
            <w:tcBorders>
              <w:top w:val="nil"/>
              <w:left w:val="nil"/>
              <w:bottom w:val="nil"/>
              <w:right w:val="nil"/>
            </w:tcBorders>
          </w:tcPr>
          <w:p w14:paraId="675AE891" w14:textId="77777777" w:rsidR="00B961AC" w:rsidRPr="00B752B3" w:rsidRDefault="00000000" w:rsidP="00B752B3">
            <w:pPr>
              <w:widowControl w:val="0"/>
              <w:autoSpaceDE w:val="0"/>
              <w:autoSpaceDN w:val="0"/>
              <w:adjustRightInd w:val="0"/>
              <w:spacing w:after="0" w:line="240" w:lineRule="auto"/>
              <w:rPr>
                <w:rFonts w:ascii="Arial" w:eastAsia="Times New Roman" w:hAnsi="Arial" w:cs="Arial"/>
                <w:kern w:val="0"/>
                <w:lang w:eastAsia="lv-LV"/>
              </w:rPr>
            </w:pPr>
            <w:r w:rsidRPr="00B752B3">
              <w:rPr>
                <w:rFonts w:ascii="Arial" w:eastAsia="Times New Roman" w:hAnsi="Arial" w:cs="Arial"/>
                <w:kern w:val="0"/>
                <w:lang w:eastAsia="lv-LV"/>
              </w:rPr>
              <w:t>2024. gada 21. martā</w:t>
            </w:r>
          </w:p>
        </w:tc>
        <w:tc>
          <w:tcPr>
            <w:tcW w:w="3717" w:type="dxa"/>
            <w:tcBorders>
              <w:top w:val="nil"/>
              <w:left w:val="nil"/>
              <w:bottom w:val="nil"/>
              <w:right w:val="nil"/>
            </w:tcBorders>
          </w:tcPr>
          <w:p w14:paraId="2598EEBA" w14:textId="77777777" w:rsidR="00B961AC" w:rsidRPr="00B752B3" w:rsidRDefault="00000000" w:rsidP="00B752B3">
            <w:pPr>
              <w:widowControl w:val="0"/>
              <w:autoSpaceDE w:val="0"/>
              <w:autoSpaceDN w:val="0"/>
              <w:adjustRightInd w:val="0"/>
              <w:spacing w:after="0" w:line="240" w:lineRule="auto"/>
              <w:jc w:val="center"/>
              <w:rPr>
                <w:rFonts w:ascii="Arial" w:eastAsia="Times New Roman" w:hAnsi="Arial" w:cs="Arial"/>
                <w:color w:val="000000"/>
                <w:kern w:val="0"/>
                <w:lang w:eastAsia="lv-LV"/>
              </w:rPr>
            </w:pPr>
            <w:r w:rsidRPr="00B752B3">
              <w:rPr>
                <w:rFonts w:ascii="Arial" w:eastAsia="Times New Roman" w:hAnsi="Arial" w:cs="Arial"/>
                <w:color w:val="000000"/>
                <w:kern w:val="0"/>
                <w:lang w:eastAsia="lv-LV"/>
              </w:rPr>
              <w:t xml:space="preserve">                                 Nr.118/3</w:t>
            </w:r>
          </w:p>
          <w:p w14:paraId="770B1D33" w14:textId="77777777" w:rsidR="00B961AC" w:rsidRPr="00B752B3" w:rsidRDefault="00000000" w:rsidP="00B752B3">
            <w:pPr>
              <w:widowControl w:val="0"/>
              <w:autoSpaceDE w:val="0"/>
              <w:autoSpaceDN w:val="0"/>
              <w:adjustRightInd w:val="0"/>
              <w:spacing w:after="0" w:line="240" w:lineRule="auto"/>
              <w:jc w:val="right"/>
              <w:rPr>
                <w:rFonts w:ascii="Arial" w:eastAsia="Times New Roman" w:hAnsi="Arial" w:cs="Arial"/>
                <w:kern w:val="0"/>
                <w:lang w:eastAsia="lv-LV"/>
              </w:rPr>
            </w:pPr>
            <w:r w:rsidRPr="00B752B3">
              <w:rPr>
                <w:rFonts w:ascii="Arial" w:eastAsia="Times New Roman" w:hAnsi="Arial" w:cs="Arial"/>
                <w:color w:val="000000"/>
                <w:kern w:val="0"/>
                <w:lang w:eastAsia="lv-LV"/>
              </w:rPr>
              <w:t>(prot. Nr.3, 46.</w:t>
            </w:r>
            <w:r w:rsidRPr="00B752B3">
              <w:rPr>
                <w:rFonts w:ascii="Arial" w:eastAsia="Times New Roman" w:hAnsi="Arial" w:cs="Arial"/>
                <w:color w:val="000000"/>
                <w:kern w:val="0"/>
                <w:sz w:val="20"/>
                <w:szCs w:val="20"/>
                <w:shd w:val="clear" w:color="auto" w:fill="FFFFFF"/>
                <w:lang w:eastAsia="lv-LV"/>
              </w:rPr>
              <w:t>§)</w:t>
            </w:r>
          </w:p>
        </w:tc>
      </w:tr>
    </w:tbl>
    <w:p w14:paraId="4F1DC7F5" w14:textId="77777777" w:rsidR="00B752B3" w:rsidRPr="00B752B3" w:rsidRDefault="00B752B3" w:rsidP="00B752B3">
      <w:pPr>
        <w:widowControl w:val="0"/>
        <w:autoSpaceDE w:val="0"/>
        <w:autoSpaceDN w:val="0"/>
        <w:adjustRightInd w:val="0"/>
        <w:spacing w:after="0" w:line="240" w:lineRule="auto"/>
        <w:jc w:val="both"/>
        <w:rPr>
          <w:rFonts w:ascii="Arial" w:eastAsia="Times New Roman" w:hAnsi="Arial" w:cs="Arial"/>
          <w:kern w:val="0"/>
          <w:sz w:val="14"/>
          <w:szCs w:val="14"/>
          <w:lang w:eastAsia="lv-LV"/>
        </w:rPr>
      </w:pPr>
    </w:p>
    <w:p w14:paraId="448CEF40" w14:textId="77777777" w:rsidR="00B752B3" w:rsidRPr="00B752B3" w:rsidRDefault="00000000" w:rsidP="00B752B3">
      <w:pPr>
        <w:spacing w:after="0" w:line="240" w:lineRule="auto"/>
        <w:jc w:val="both"/>
        <w:rPr>
          <w:rFonts w:ascii="Arial" w:hAnsi="Arial" w:cs="Arial"/>
        </w:rPr>
      </w:pPr>
      <w:r w:rsidRPr="00B752B3">
        <w:rPr>
          <w:rFonts w:ascii="Arial" w:hAnsi="Arial" w:cs="Arial"/>
        </w:rPr>
        <w:t xml:space="preserve">Par neapbūvēta zemesgabala Stārķu ielā 27A, </w:t>
      </w:r>
    </w:p>
    <w:p w14:paraId="6DC3491B" w14:textId="77777777" w:rsidR="00B752B3" w:rsidRPr="00B752B3" w:rsidRDefault="00000000" w:rsidP="00B752B3">
      <w:pPr>
        <w:spacing w:after="0" w:line="240" w:lineRule="auto"/>
        <w:jc w:val="both"/>
        <w:rPr>
          <w:rFonts w:ascii="Arial" w:hAnsi="Arial" w:cs="Arial"/>
        </w:rPr>
      </w:pPr>
      <w:r w:rsidRPr="00B752B3">
        <w:rPr>
          <w:rFonts w:ascii="Arial" w:hAnsi="Arial" w:cs="Arial"/>
        </w:rPr>
        <w:t>Liepājā nodošanu atsavināšanai</w:t>
      </w:r>
    </w:p>
    <w:p w14:paraId="77D88F5C" w14:textId="77777777" w:rsidR="00B752B3" w:rsidRPr="00B752B3" w:rsidRDefault="00B752B3" w:rsidP="00B752B3">
      <w:pPr>
        <w:spacing w:after="0" w:line="240" w:lineRule="auto"/>
        <w:jc w:val="both"/>
        <w:rPr>
          <w:rFonts w:ascii="Arial" w:hAnsi="Arial" w:cs="Arial"/>
        </w:rPr>
      </w:pPr>
    </w:p>
    <w:p w14:paraId="4A00B4AE" w14:textId="77777777" w:rsidR="00B752B3" w:rsidRPr="00B752B3" w:rsidRDefault="00B752B3" w:rsidP="00B752B3">
      <w:pPr>
        <w:spacing w:after="0" w:line="240" w:lineRule="auto"/>
        <w:jc w:val="both"/>
        <w:rPr>
          <w:rFonts w:ascii="Arial" w:hAnsi="Arial" w:cs="Arial"/>
        </w:rPr>
      </w:pPr>
    </w:p>
    <w:p w14:paraId="18206595" w14:textId="77777777" w:rsidR="00B752B3" w:rsidRPr="00B752B3" w:rsidRDefault="00000000" w:rsidP="00B752B3">
      <w:pPr>
        <w:spacing w:after="0" w:line="240" w:lineRule="auto"/>
        <w:ind w:firstLine="709"/>
        <w:jc w:val="both"/>
        <w:rPr>
          <w:rFonts w:ascii="Arial" w:hAnsi="Arial" w:cs="Arial"/>
          <w:b/>
          <w:bCs/>
        </w:rPr>
      </w:pPr>
      <w:r w:rsidRPr="00B752B3">
        <w:rPr>
          <w:rFonts w:ascii="Arial" w:hAnsi="Arial" w:cs="Arial"/>
        </w:rPr>
        <w:t>Lai atsavinātu nekustamo īpašumu, kurš nav nepieciešams Liepājas valstspilsētas pašvaldībai funkciju nodrošināšanai, pamatojoties uz Publiskas personas mantas atsavināšanas likuma 3. panta pirmās daļas 1. punktu, 4. panta pirmo un otro daļu, 5.</w:t>
      </w:r>
      <w:r w:rsidR="00B961AC">
        <w:rPr>
          <w:rFonts w:ascii="Arial" w:hAnsi="Arial" w:cs="Arial"/>
        </w:rPr>
        <w:t> </w:t>
      </w:r>
      <w:r w:rsidRPr="00B752B3">
        <w:rPr>
          <w:rFonts w:ascii="Arial" w:hAnsi="Arial" w:cs="Arial"/>
        </w:rPr>
        <w:t>panta pirmo un piekto daļu, Pašvaldību likuma 10.</w:t>
      </w:r>
      <w:r w:rsidR="00B961AC">
        <w:rPr>
          <w:rFonts w:ascii="Arial" w:hAnsi="Arial" w:cs="Arial"/>
        </w:rPr>
        <w:t> </w:t>
      </w:r>
      <w:r w:rsidRPr="00B752B3">
        <w:rPr>
          <w:rFonts w:ascii="Arial" w:hAnsi="Arial" w:cs="Arial"/>
        </w:rPr>
        <w:t xml:space="preserve">panta pirmās daļas                   16. punktu, izskatot Liepājas valstspilsētas pašvaldības domes pastāvīgās Attīstības komitejas 2024. gada 14. marta lēmumu (sēdes protokols Nr.3) un pastāvīgās Finanšu komitejas 2024. gada 14. marta lēmumu (sēdes protokols Nr.3), Liepājas valstspilsētas pašvaldības dome </w:t>
      </w:r>
      <w:r w:rsidRPr="00B752B3">
        <w:rPr>
          <w:rFonts w:ascii="Arial" w:hAnsi="Arial" w:cs="Arial"/>
          <w:b/>
        </w:rPr>
        <w:t>nolemj</w:t>
      </w:r>
      <w:r w:rsidRPr="00B752B3">
        <w:rPr>
          <w:rFonts w:ascii="Arial" w:hAnsi="Arial" w:cs="Arial"/>
          <w:b/>
          <w:bCs/>
        </w:rPr>
        <w:t>:</w:t>
      </w:r>
    </w:p>
    <w:p w14:paraId="2DE5CDF6" w14:textId="77777777" w:rsidR="00B752B3" w:rsidRPr="00B752B3" w:rsidRDefault="00B752B3" w:rsidP="00B752B3">
      <w:pPr>
        <w:spacing w:after="0" w:line="240" w:lineRule="auto"/>
        <w:ind w:firstLine="709"/>
        <w:jc w:val="both"/>
        <w:rPr>
          <w:rFonts w:ascii="Arial" w:hAnsi="Arial" w:cs="Arial"/>
        </w:rPr>
      </w:pPr>
    </w:p>
    <w:p w14:paraId="641B1F1F" w14:textId="77777777" w:rsidR="00B752B3" w:rsidRPr="00B752B3" w:rsidRDefault="00000000" w:rsidP="00B752B3">
      <w:pPr>
        <w:spacing w:after="0" w:line="240" w:lineRule="auto"/>
        <w:ind w:firstLine="709"/>
        <w:jc w:val="both"/>
        <w:rPr>
          <w:rFonts w:ascii="Arial" w:hAnsi="Arial" w:cs="Arial"/>
        </w:rPr>
      </w:pPr>
      <w:r w:rsidRPr="00B752B3">
        <w:rPr>
          <w:rFonts w:ascii="Arial" w:hAnsi="Arial" w:cs="Arial"/>
        </w:rPr>
        <w:t>1. Nodot atsavināšanai Liepājas valstspilsētas pašvaldības īpašumā esošu nekustamo īpašumu, neapbūvētu zemesgabalu 630 kv.m platībā Stārķu ielā 27A, Liepājā (kadastra Nr.1700 012 0969), pārdodot to izsolē.</w:t>
      </w:r>
    </w:p>
    <w:p w14:paraId="7F85D069" w14:textId="77777777" w:rsidR="00B752B3" w:rsidRPr="00B752B3" w:rsidRDefault="00B752B3" w:rsidP="00B752B3">
      <w:pPr>
        <w:spacing w:after="0" w:line="240" w:lineRule="auto"/>
        <w:jc w:val="both"/>
        <w:rPr>
          <w:rFonts w:ascii="Arial" w:hAnsi="Arial" w:cs="Arial"/>
          <w:sz w:val="10"/>
          <w:szCs w:val="10"/>
        </w:rPr>
      </w:pPr>
    </w:p>
    <w:p w14:paraId="4B99386A" w14:textId="77777777" w:rsidR="00B752B3" w:rsidRPr="00B752B3" w:rsidRDefault="00000000" w:rsidP="00B752B3">
      <w:pPr>
        <w:spacing w:after="0" w:line="240" w:lineRule="auto"/>
        <w:ind w:firstLine="709"/>
        <w:jc w:val="both"/>
        <w:rPr>
          <w:rFonts w:ascii="Arial" w:hAnsi="Arial" w:cs="Arial"/>
        </w:rPr>
      </w:pPr>
      <w:r w:rsidRPr="00B752B3">
        <w:rPr>
          <w:rFonts w:ascii="Arial" w:hAnsi="Arial" w:cs="Arial"/>
        </w:rPr>
        <w:t xml:space="preserve">2. Noteikt, ka maksājumi par lēmuma 1. punktā minēto Liepājas valstspilsētas pašvaldības nekustamo īpašumu ir 100% </w:t>
      </w:r>
      <w:r w:rsidRPr="00B752B3">
        <w:rPr>
          <w:rFonts w:ascii="Arial" w:hAnsi="Arial" w:cs="Arial"/>
          <w:i/>
        </w:rPr>
        <w:t>euro</w:t>
      </w:r>
      <w:r w:rsidRPr="00B752B3">
        <w:rPr>
          <w:rFonts w:ascii="Arial" w:hAnsi="Arial" w:cs="Arial"/>
        </w:rPr>
        <w:t>.</w:t>
      </w:r>
    </w:p>
    <w:p w14:paraId="5016267B" w14:textId="77777777" w:rsidR="00B752B3" w:rsidRPr="00B752B3" w:rsidRDefault="00B752B3" w:rsidP="00B752B3">
      <w:pPr>
        <w:spacing w:after="0" w:line="240" w:lineRule="auto"/>
        <w:jc w:val="both"/>
        <w:rPr>
          <w:rFonts w:ascii="Arial" w:hAnsi="Arial" w:cs="Arial"/>
          <w:sz w:val="10"/>
          <w:szCs w:val="10"/>
        </w:rPr>
      </w:pPr>
    </w:p>
    <w:p w14:paraId="7CCF0CB4" w14:textId="77777777" w:rsidR="00B752B3" w:rsidRPr="00B752B3" w:rsidRDefault="00000000" w:rsidP="00B752B3">
      <w:pPr>
        <w:spacing w:after="0" w:line="240" w:lineRule="auto"/>
        <w:ind w:firstLine="709"/>
        <w:jc w:val="both"/>
        <w:rPr>
          <w:rFonts w:ascii="Arial" w:hAnsi="Arial" w:cs="Arial"/>
        </w:rPr>
      </w:pPr>
      <w:r w:rsidRPr="00B752B3">
        <w:rPr>
          <w:rFonts w:ascii="Arial" w:hAnsi="Arial" w:cs="Arial"/>
        </w:rPr>
        <w:t>3. Uzdot Liepājas Nekustamā īpašuma pārvaldei veikt visas nepieciešamās darbības lēmuma 1.</w:t>
      </w:r>
      <w:r w:rsidR="00B961AC">
        <w:rPr>
          <w:rFonts w:ascii="Arial" w:hAnsi="Arial" w:cs="Arial"/>
        </w:rPr>
        <w:t> </w:t>
      </w:r>
      <w:r w:rsidRPr="00B752B3">
        <w:rPr>
          <w:rFonts w:ascii="Arial" w:hAnsi="Arial" w:cs="Arial"/>
        </w:rPr>
        <w:t>punktā minētā nekustamā īpašuma atsavināšanas procesa nodrošināšanai.</w:t>
      </w:r>
    </w:p>
    <w:p w14:paraId="2E27554B" w14:textId="77777777" w:rsidR="00B752B3" w:rsidRPr="00B752B3" w:rsidRDefault="00B752B3" w:rsidP="00B752B3">
      <w:pPr>
        <w:spacing w:after="0" w:line="240" w:lineRule="auto"/>
        <w:jc w:val="both"/>
        <w:rPr>
          <w:rFonts w:ascii="Arial" w:hAnsi="Arial" w:cs="Arial"/>
          <w:sz w:val="10"/>
          <w:szCs w:val="10"/>
        </w:rPr>
      </w:pPr>
    </w:p>
    <w:p w14:paraId="35FFFA7C" w14:textId="77777777" w:rsidR="00B752B3" w:rsidRPr="00B752B3" w:rsidRDefault="00000000" w:rsidP="00B752B3">
      <w:pPr>
        <w:spacing w:after="0" w:line="240" w:lineRule="auto"/>
        <w:ind w:firstLine="709"/>
        <w:jc w:val="both"/>
        <w:rPr>
          <w:rFonts w:ascii="Arial" w:hAnsi="Arial" w:cs="Arial"/>
        </w:rPr>
      </w:pPr>
      <w:r w:rsidRPr="00B752B3">
        <w:rPr>
          <w:rFonts w:ascii="Arial" w:hAnsi="Arial" w:cs="Arial"/>
        </w:rPr>
        <w:t>4. Liepājas valstspilsētas pašvaldības izpilddirektora vietniekam īpašumu jautājumos kontrolēt lēmuma izpildi.</w:t>
      </w:r>
    </w:p>
    <w:p w14:paraId="38393187" w14:textId="77777777" w:rsidR="00B752B3" w:rsidRPr="00B752B3" w:rsidRDefault="00B752B3" w:rsidP="00B752B3">
      <w:pPr>
        <w:spacing w:line="256" w:lineRule="auto"/>
        <w:ind w:firstLine="709"/>
        <w:jc w:val="both"/>
        <w:rPr>
          <w:rFonts w:ascii="Arial" w:hAnsi="Arial" w:cs="Arial"/>
        </w:rPr>
      </w:pPr>
    </w:p>
    <w:p w14:paraId="052DD0A7" w14:textId="77777777" w:rsidR="00B752B3" w:rsidRPr="00B752B3" w:rsidRDefault="00B752B3" w:rsidP="00B752B3">
      <w:pPr>
        <w:widowControl w:val="0"/>
        <w:autoSpaceDE w:val="0"/>
        <w:autoSpaceDN w:val="0"/>
        <w:adjustRightInd w:val="0"/>
        <w:spacing w:after="0" w:line="240" w:lineRule="auto"/>
        <w:jc w:val="both"/>
        <w:rPr>
          <w:rFonts w:ascii="Arial" w:eastAsia="Times New Roman" w:hAnsi="Arial" w:cs="Arial"/>
          <w:kern w:val="0"/>
          <w:szCs w:val="14"/>
          <w:lang w:eastAsia="lv-LV"/>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D183F" w14:paraId="396A2756" w14:textId="77777777" w:rsidTr="00220D04">
        <w:tc>
          <w:tcPr>
            <w:tcW w:w="5644" w:type="dxa"/>
            <w:gridSpan w:val="2"/>
            <w:tcBorders>
              <w:top w:val="nil"/>
              <w:left w:val="nil"/>
              <w:bottom w:val="nil"/>
              <w:right w:val="nil"/>
            </w:tcBorders>
          </w:tcPr>
          <w:p w14:paraId="49AA4A85" w14:textId="77777777" w:rsidR="00B752B3" w:rsidRPr="00B752B3" w:rsidRDefault="00000000" w:rsidP="00B752B3">
            <w:pPr>
              <w:widowControl w:val="0"/>
              <w:autoSpaceDE w:val="0"/>
              <w:autoSpaceDN w:val="0"/>
              <w:adjustRightInd w:val="0"/>
              <w:spacing w:after="0" w:line="240" w:lineRule="auto"/>
              <w:rPr>
                <w:rFonts w:ascii="Arial" w:eastAsia="Times New Roman" w:hAnsi="Arial" w:cs="Arial"/>
                <w:kern w:val="0"/>
                <w:lang w:eastAsia="lv-LV"/>
              </w:rPr>
            </w:pPr>
            <w:r w:rsidRPr="00B752B3">
              <w:rPr>
                <w:rFonts w:ascii="Arial" w:eastAsia="Times New Roman" w:hAnsi="Arial" w:cs="Arial"/>
                <w:kern w:val="0"/>
                <w:lang w:eastAsia="lv-LV"/>
              </w:rPr>
              <w:t>Priekšsēdētājs</w:t>
            </w:r>
          </w:p>
        </w:tc>
        <w:tc>
          <w:tcPr>
            <w:tcW w:w="2921" w:type="dxa"/>
            <w:tcBorders>
              <w:top w:val="nil"/>
              <w:left w:val="nil"/>
              <w:bottom w:val="nil"/>
              <w:right w:val="nil"/>
            </w:tcBorders>
          </w:tcPr>
          <w:p w14:paraId="24F99E78" w14:textId="77777777" w:rsidR="00B752B3" w:rsidRPr="00B752B3" w:rsidRDefault="00000000" w:rsidP="00B752B3">
            <w:pPr>
              <w:widowControl w:val="0"/>
              <w:autoSpaceDE w:val="0"/>
              <w:autoSpaceDN w:val="0"/>
              <w:adjustRightInd w:val="0"/>
              <w:spacing w:after="0" w:line="240" w:lineRule="auto"/>
              <w:jc w:val="right"/>
              <w:rPr>
                <w:rFonts w:ascii="Arial" w:eastAsia="Times New Roman" w:hAnsi="Arial" w:cs="Arial"/>
                <w:kern w:val="0"/>
                <w:lang w:eastAsia="lv-LV"/>
              </w:rPr>
            </w:pPr>
            <w:r w:rsidRPr="00B752B3">
              <w:rPr>
                <w:rFonts w:ascii="Arial" w:eastAsia="Times New Roman" w:hAnsi="Arial" w:cs="Arial"/>
                <w:kern w:val="0"/>
                <w:lang w:eastAsia="lv-LV"/>
              </w:rPr>
              <w:t>Gunārs Ansiņš</w:t>
            </w:r>
          </w:p>
          <w:p w14:paraId="17412661" w14:textId="77777777" w:rsidR="00B752B3" w:rsidRPr="00B752B3" w:rsidRDefault="00B752B3" w:rsidP="00B752B3">
            <w:pPr>
              <w:widowControl w:val="0"/>
              <w:autoSpaceDE w:val="0"/>
              <w:autoSpaceDN w:val="0"/>
              <w:adjustRightInd w:val="0"/>
              <w:spacing w:after="0" w:line="240" w:lineRule="auto"/>
              <w:jc w:val="right"/>
              <w:rPr>
                <w:rFonts w:ascii="Arial" w:eastAsia="Times New Roman" w:hAnsi="Arial" w:cs="Arial"/>
                <w:kern w:val="0"/>
                <w:sz w:val="8"/>
                <w:lang w:eastAsia="lv-LV"/>
              </w:rPr>
            </w:pPr>
          </w:p>
        </w:tc>
      </w:tr>
      <w:tr w:rsidR="006D183F" w14:paraId="68980E0E" w14:textId="77777777" w:rsidTr="00220D04">
        <w:tc>
          <w:tcPr>
            <w:tcW w:w="1336" w:type="dxa"/>
            <w:tcBorders>
              <w:top w:val="nil"/>
              <w:left w:val="nil"/>
              <w:bottom w:val="nil"/>
              <w:right w:val="nil"/>
            </w:tcBorders>
          </w:tcPr>
          <w:p w14:paraId="3873EEC0" w14:textId="77777777" w:rsidR="00B752B3" w:rsidRPr="00B752B3" w:rsidRDefault="00000000" w:rsidP="00B752B3">
            <w:pPr>
              <w:widowControl w:val="0"/>
              <w:autoSpaceDE w:val="0"/>
              <w:autoSpaceDN w:val="0"/>
              <w:adjustRightInd w:val="0"/>
              <w:spacing w:after="0" w:line="240" w:lineRule="auto"/>
              <w:rPr>
                <w:rFonts w:ascii="Arial" w:eastAsia="Times New Roman" w:hAnsi="Arial" w:cs="Arial"/>
                <w:kern w:val="0"/>
                <w:lang w:eastAsia="lv-LV"/>
              </w:rPr>
            </w:pPr>
            <w:r w:rsidRPr="00B752B3">
              <w:rPr>
                <w:rFonts w:ascii="Arial" w:eastAsia="Times New Roman" w:hAnsi="Arial" w:cs="Arial"/>
                <w:kern w:val="0"/>
                <w:lang w:eastAsia="lv-LV"/>
              </w:rPr>
              <w:t>Nosūtāms:</w:t>
            </w:r>
          </w:p>
        </w:tc>
        <w:tc>
          <w:tcPr>
            <w:tcW w:w="7229" w:type="dxa"/>
            <w:gridSpan w:val="2"/>
            <w:tcBorders>
              <w:top w:val="nil"/>
              <w:left w:val="nil"/>
              <w:bottom w:val="nil"/>
              <w:right w:val="nil"/>
            </w:tcBorders>
          </w:tcPr>
          <w:p w14:paraId="529B13CA" w14:textId="77777777" w:rsidR="00B752B3" w:rsidRPr="00B752B3" w:rsidRDefault="00000000" w:rsidP="00B752B3">
            <w:pPr>
              <w:widowControl w:val="0"/>
              <w:autoSpaceDE w:val="0"/>
              <w:autoSpaceDN w:val="0"/>
              <w:adjustRightInd w:val="0"/>
              <w:spacing w:after="0" w:line="240" w:lineRule="auto"/>
              <w:jc w:val="both"/>
              <w:rPr>
                <w:rFonts w:ascii="Arial" w:eastAsia="Times New Roman" w:hAnsi="Arial" w:cs="Arial"/>
                <w:kern w:val="0"/>
                <w:lang w:eastAsia="lv-LV"/>
              </w:rPr>
            </w:pPr>
            <w:r w:rsidRPr="00B752B3">
              <w:rPr>
                <w:rFonts w:ascii="Arial" w:hAnsi="Arial" w:cs="Arial"/>
              </w:rPr>
              <w:t>Izpilddirektora birojam, Finanšu pārvaldei, Dzīvojamo māju privatizācijas komisijai, Liepājas Nekustamā īpašuma pārvaldei (galvenajai grāmatvedei)</w:t>
            </w:r>
          </w:p>
          <w:p w14:paraId="225316A2" w14:textId="77777777" w:rsidR="00B752B3" w:rsidRPr="00B752B3" w:rsidRDefault="00B752B3" w:rsidP="00B752B3">
            <w:pPr>
              <w:widowControl w:val="0"/>
              <w:autoSpaceDE w:val="0"/>
              <w:autoSpaceDN w:val="0"/>
              <w:adjustRightInd w:val="0"/>
              <w:spacing w:after="0" w:line="240" w:lineRule="auto"/>
              <w:jc w:val="both"/>
              <w:rPr>
                <w:rFonts w:ascii="Arial" w:eastAsia="Times New Roman" w:hAnsi="Arial" w:cs="Arial"/>
                <w:kern w:val="0"/>
                <w:lang w:eastAsia="lv-LV"/>
              </w:rPr>
            </w:pPr>
          </w:p>
        </w:tc>
      </w:tr>
    </w:tbl>
    <w:p w14:paraId="2C601AAF" w14:textId="77777777" w:rsidR="00B752B3" w:rsidRPr="00B752B3" w:rsidRDefault="00B752B3" w:rsidP="00B752B3">
      <w:pPr>
        <w:widowControl w:val="0"/>
        <w:autoSpaceDE w:val="0"/>
        <w:autoSpaceDN w:val="0"/>
        <w:adjustRightInd w:val="0"/>
        <w:spacing w:after="0" w:line="240" w:lineRule="auto"/>
        <w:jc w:val="both"/>
        <w:rPr>
          <w:rFonts w:ascii="Arial" w:eastAsia="Times New Roman" w:hAnsi="Arial" w:cs="Arial"/>
          <w:kern w:val="0"/>
          <w:lang w:eastAsia="lv-LV"/>
        </w:rPr>
      </w:pPr>
    </w:p>
    <w:sectPr w:rsidR="00B752B3" w:rsidRPr="00B752B3" w:rsidSect="00986628">
      <w:headerReference w:type="default" r:id="rId6"/>
      <w:footerReference w:type="default" r:id="rId7"/>
      <w:headerReference w:type="first" r:id="rId8"/>
      <w:footerReference w:type="first" r:id="rId9"/>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A9B2A7" w14:textId="77777777" w:rsidR="00986628" w:rsidRDefault="00986628">
      <w:pPr>
        <w:spacing w:after="0" w:line="240" w:lineRule="auto"/>
      </w:pPr>
      <w:r>
        <w:separator/>
      </w:r>
    </w:p>
  </w:endnote>
  <w:endnote w:type="continuationSeparator" w:id="0">
    <w:p w14:paraId="2B380611" w14:textId="77777777" w:rsidR="00986628" w:rsidRDefault="0098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A58D0" w14:textId="77777777" w:rsidR="007B4DD7" w:rsidRPr="00765476" w:rsidRDefault="007B4DD7">
    <w:pPr>
      <w:pStyle w:val="Kjene"/>
      <w:jc w:val="both"/>
    </w:pPr>
  </w:p>
  <w:p w14:paraId="21EE1FCC" w14:textId="77777777" w:rsidR="006D183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5DB81" w14:textId="77777777" w:rsidR="006D183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CAAA8" w14:textId="77777777" w:rsidR="00986628" w:rsidRDefault="00986628">
      <w:pPr>
        <w:spacing w:after="0" w:line="240" w:lineRule="auto"/>
      </w:pPr>
      <w:r>
        <w:separator/>
      </w:r>
    </w:p>
  </w:footnote>
  <w:footnote w:type="continuationSeparator" w:id="0">
    <w:p w14:paraId="52F4845A" w14:textId="77777777" w:rsidR="00986628" w:rsidRDefault="00986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3EE05" w14:textId="77777777" w:rsidR="007B4DD7" w:rsidRDefault="007B4DD7">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E698E" w14:textId="43DD9370" w:rsidR="007B4DD7" w:rsidRPr="00AE2B38" w:rsidRDefault="00B21080">
    <w:pPr>
      <w:pStyle w:val="Galvene"/>
      <w:tabs>
        <w:tab w:val="left" w:pos="3828"/>
      </w:tabs>
      <w:jc w:val="center"/>
      <w:rPr>
        <w:rFonts w:ascii="Arial" w:hAnsi="Arial" w:cs="Arial"/>
      </w:rPr>
    </w:pPr>
    <w:r>
      <w:rPr>
        <w:noProof/>
        <w:lang w:eastAsia="lv-LV"/>
      </w:rPr>
      <w:drawing>
        <wp:inline distT="0" distB="0" distL="0" distR="0" wp14:anchorId="165803CC" wp14:editId="003D1F12">
          <wp:extent cx="670560" cy="75438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754380"/>
                  </a:xfrm>
                  <a:prstGeom prst="rect">
                    <a:avLst/>
                  </a:prstGeom>
                  <a:noFill/>
                  <a:ln>
                    <a:noFill/>
                  </a:ln>
                </pic:spPr>
              </pic:pic>
            </a:graphicData>
          </a:graphic>
        </wp:inline>
      </w:drawing>
    </w:r>
  </w:p>
  <w:p w14:paraId="078473AF" w14:textId="77777777" w:rsidR="007B4DD7" w:rsidRPr="00356E0F" w:rsidRDefault="00000000">
    <w:pPr>
      <w:pStyle w:val="Galvene"/>
      <w:spacing w:before="120"/>
      <w:jc w:val="center"/>
      <w:rPr>
        <w:rFonts w:ascii="Arial" w:hAnsi="Arial" w:cs="Arial"/>
        <w:b/>
      </w:rPr>
    </w:pPr>
    <w:r w:rsidRPr="00607627">
      <w:rPr>
        <w:rFonts w:ascii="Arial" w:hAnsi="Arial" w:cs="Arial"/>
        <w:b/>
      </w:rPr>
      <w:t>L</w:t>
    </w:r>
    <w:r>
      <w:rPr>
        <w:rFonts w:ascii="Arial" w:hAnsi="Arial" w:cs="Arial"/>
        <w:b/>
      </w:rPr>
      <w:t>iepājas valstspilsētas pašvaldības dome</w:t>
    </w:r>
  </w:p>
  <w:p w14:paraId="7F56C73A" w14:textId="77777777" w:rsidR="007B4DD7" w:rsidRDefault="00000000">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3F26074A" w14:textId="77777777" w:rsidR="007B4DD7" w:rsidRPr="00AE2B38" w:rsidRDefault="007B4DD7">
    <w:pPr>
      <w:pStyle w:val="Galven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5A"/>
    <w:rsid w:val="00170F5A"/>
    <w:rsid w:val="001D15BA"/>
    <w:rsid w:val="00356E0F"/>
    <w:rsid w:val="00387FC7"/>
    <w:rsid w:val="003A3CC9"/>
    <w:rsid w:val="0053606A"/>
    <w:rsid w:val="00607627"/>
    <w:rsid w:val="00640C99"/>
    <w:rsid w:val="006D183F"/>
    <w:rsid w:val="006D3EF7"/>
    <w:rsid w:val="00765476"/>
    <w:rsid w:val="007B4DD7"/>
    <w:rsid w:val="008D010C"/>
    <w:rsid w:val="00986628"/>
    <w:rsid w:val="00AE2B38"/>
    <w:rsid w:val="00B21080"/>
    <w:rsid w:val="00B752B3"/>
    <w:rsid w:val="00B81939"/>
    <w:rsid w:val="00B85385"/>
    <w:rsid w:val="00B961AC"/>
    <w:rsid w:val="00DC076F"/>
    <w:rsid w:val="00E52EFD"/>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14528"/>
  <w15:docId w15:val="{C229CD5E-DA20-49DB-80E1-D45EDBBF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kern w:val="2"/>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70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70F5A"/>
  </w:style>
  <w:style w:type="paragraph" w:styleId="Kjene">
    <w:name w:val="footer"/>
    <w:basedOn w:val="Parasts"/>
    <w:link w:val="KjeneRakstz"/>
    <w:uiPriority w:val="99"/>
    <w:unhideWhenUsed/>
    <w:rsid w:val="00170F5A"/>
    <w:pPr>
      <w:tabs>
        <w:tab w:val="center" w:pos="4153"/>
        <w:tab w:val="right" w:pos="8306"/>
      </w:tabs>
      <w:spacing w:after="0" w:line="240" w:lineRule="auto"/>
    </w:pPr>
    <w:rPr>
      <w:rFonts w:ascii="Arial" w:eastAsia="Times New Roman" w:hAnsi="Arial"/>
      <w:kern w:val="0"/>
      <w:szCs w:val="24"/>
      <w:lang w:eastAsia="lv-LV"/>
    </w:rPr>
  </w:style>
  <w:style w:type="character" w:customStyle="1" w:styleId="KjeneRakstz">
    <w:name w:val="Kājene Rakstz."/>
    <w:link w:val="Kjene"/>
    <w:uiPriority w:val="99"/>
    <w:rsid w:val="00170F5A"/>
    <w:rPr>
      <w:rFonts w:ascii="Arial" w:eastAsia="Times New Roman" w:hAnsi="Arial" w:cs="Times New Roman"/>
      <w:kern w:val="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1010</Words>
  <Characters>576</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Sintija Biša</cp:lastModifiedBy>
  <cp:revision>2</cp:revision>
  <dcterms:created xsi:type="dcterms:W3CDTF">2024-03-27T09:25:00Z</dcterms:created>
  <dcterms:modified xsi:type="dcterms:W3CDTF">2024-03-27T09:25:00Z</dcterms:modified>
</cp:coreProperties>
</file>