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2500" w14:textId="77777777" w:rsidR="000F232A" w:rsidRPr="005810C2" w:rsidRDefault="000F232A" w:rsidP="005810C2">
      <w:pPr>
        <w:widowControl w:val="0"/>
        <w:autoSpaceDE w:val="0"/>
        <w:autoSpaceDN w:val="0"/>
        <w:adjustRightInd w:val="0"/>
        <w:jc w:val="right"/>
        <w:rPr>
          <w:rFonts w:cs="Arial"/>
          <w:bCs/>
          <w:sz w:val="26"/>
          <w:szCs w:val="26"/>
        </w:rPr>
      </w:pPr>
    </w:p>
    <w:p w14:paraId="5B822501" w14:textId="77777777" w:rsidR="00607627" w:rsidRPr="00607627" w:rsidRDefault="00034DE6" w:rsidP="00607627">
      <w:pPr>
        <w:widowControl w:val="0"/>
        <w:autoSpaceDE w:val="0"/>
        <w:autoSpaceDN w:val="0"/>
        <w:adjustRightInd w:val="0"/>
        <w:jc w:val="center"/>
        <w:rPr>
          <w:rFonts w:cs="Arial"/>
          <w:sz w:val="26"/>
          <w:szCs w:val="26"/>
        </w:rPr>
      </w:pPr>
      <w:r>
        <w:rPr>
          <w:rFonts w:cs="Arial"/>
          <w:b/>
          <w:bCs/>
          <w:sz w:val="26"/>
          <w:szCs w:val="26"/>
        </w:rPr>
        <w:t>LĒMUMS</w:t>
      </w:r>
    </w:p>
    <w:p w14:paraId="5B822502" w14:textId="77777777" w:rsidR="00607627" w:rsidRPr="00607627" w:rsidRDefault="00034DE6" w:rsidP="00607627">
      <w:pPr>
        <w:widowControl w:val="0"/>
        <w:autoSpaceDE w:val="0"/>
        <w:autoSpaceDN w:val="0"/>
        <w:adjustRightInd w:val="0"/>
        <w:jc w:val="center"/>
        <w:rPr>
          <w:rFonts w:cs="Arial"/>
          <w:sz w:val="26"/>
          <w:szCs w:val="26"/>
        </w:rPr>
      </w:pPr>
      <w:r w:rsidRPr="00607627">
        <w:rPr>
          <w:rFonts w:cs="Arial"/>
          <w:sz w:val="26"/>
          <w:szCs w:val="26"/>
        </w:rPr>
        <w:t>LIEPĀJĀ</w:t>
      </w:r>
    </w:p>
    <w:p w14:paraId="5B82250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000A4" w14:paraId="5B822509" w14:textId="77777777" w:rsidTr="00D61B9F">
        <w:tc>
          <w:tcPr>
            <w:tcW w:w="4788" w:type="dxa"/>
            <w:tcBorders>
              <w:top w:val="nil"/>
              <w:left w:val="nil"/>
              <w:bottom w:val="nil"/>
              <w:right w:val="nil"/>
            </w:tcBorders>
          </w:tcPr>
          <w:p w14:paraId="5B822504" w14:textId="77777777" w:rsidR="00175E06" w:rsidRPr="00393422" w:rsidRDefault="00034DE6"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5B822505" w14:textId="39E18A98" w:rsidR="00175E06" w:rsidRDefault="00034DE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588/17</w:t>
            </w:r>
          </w:p>
          <w:p w14:paraId="5B822506" w14:textId="174D8B8C" w:rsidR="004B7633" w:rsidRPr="00393422" w:rsidRDefault="00034DE6" w:rsidP="00175E06">
            <w:pPr>
              <w:widowControl w:val="0"/>
              <w:autoSpaceDE w:val="0"/>
              <w:autoSpaceDN w:val="0"/>
              <w:adjustRightInd w:val="0"/>
              <w:jc w:val="right"/>
              <w:rPr>
                <w:rFonts w:cs="Arial"/>
                <w:szCs w:val="22"/>
              </w:rPr>
            </w:pPr>
            <w:r w:rsidRPr="004A3950">
              <w:rPr>
                <w:rFonts w:cs="Arial"/>
                <w:color w:val="000000"/>
                <w:szCs w:val="22"/>
              </w:rPr>
              <w:t xml:space="preserve">(prot. Nr.17, </w:t>
            </w:r>
            <w:r>
              <w:rPr>
                <w:rFonts w:cs="Arial"/>
                <w:color w:val="000000"/>
                <w:szCs w:val="22"/>
              </w:rPr>
              <w:t>22</w:t>
            </w:r>
            <w:r w:rsidRPr="004A3950">
              <w:rPr>
                <w:rFonts w:cs="Arial"/>
                <w:color w:val="000000"/>
                <w:szCs w:val="22"/>
              </w:rPr>
              <w:t>.</w:t>
            </w:r>
            <w:r w:rsidRPr="004A3950">
              <w:rPr>
                <w:rFonts w:cs="Arial"/>
                <w:color w:val="000000"/>
                <w:sz w:val="20"/>
                <w:szCs w:val="20"/>
                <w:shd w:val="clear" w:color="auto" w:fill="FFFFFF"/>
              </w:rPr>
              <w:t>§)</w:t>
            </w:r>
          </w:p>
        </w:tc>
        <w:tc>
          <w:tcPr>
            <w:tcW w:w="3717" w:type="dxa"/>
            <w:tcBorders>
              <w:top w:val="nil"/>
              <w:left w:val="nil"/>
              <w:bottom w:val="nil"/>
              <w:right w:val="nil"/>
            </w:tcBorders>
          </w:tcPr>
          <w:p w14:paraId="5B822507" w14:textId="77777777" w:rsidR="00175E06" w:rsidRPr="00393422" w:rsidRDefault="00034DE6" w:rsidP="00175E06">
            <w:pPr>
              <w:widowControl w:val="0"/>
              <w:autoSpaceDE w:val="0"/>
              <w:autoSpaceDN w:val="0"/>
              <w:adjustRightInd w:val="0"/>
              <w:jc w:val="right"/>
              <w:rPr>
                <w:rFonts w:cs="Arial"/>
                <w:szCs w:val="22"/>
              </w:rPr>
            </w:pPr>
            <w:r w:rsidRPr="00393422">
              <w:rPr>
                <w:rFonts w:cs="Arial"/>
                <w:szCs w:val="22"/>
              </w:rPr>
              <w:t xml:space="preserve">Nr.233            </w:t>
            </w:r>
          </w:p>
          <w:p w14:paraId="5B822508" w14:textId="77777777" w:rsidR="00175E06" w:rsidRPr="00393422" w:rsidRDefault="00175E06" w:rsidP="00175E06">
            <w:pPr>
              <w:widowControl w:val="0"/>
              <w:autoSpaceDE w:val="0"/>
              <w:autoSpaceDN w:val="0"/>
              <w:adjustRightInd w:val="0"/>
              <w:jc w:val="right"/>
              <w:rPr>
                <w:rFonts w:cs="Arial"/>
                <w:szCs w:val="22"/>
              </w:rPr>
            </w:pPr>
          </w:p>
        </w:tc>
      </w:tr>
    </w:tbl>
    <w:p w14:paraId="5B82250A" w14:textId="77777777" w:rsidR="000F232A" w:rsidRPr="004B7633" w:rsidRDefault="000F232A" w:rsidP="00607627">
      <w:pPr>
        <w:widowControl w:val="0"/>
        <w:autoSpaceDE w:val="0"/>
        <w:autoSpaceDN w:val="0"/>
        <w:adjustRightInd w:val="0"/>
        <w:jc w:val="center"/>
        <w:rPr>
          <w:rFonts w:cs="Arial"/>
          <w:sz w:val="14"/>
          <w:szCs w:val="14"/>
        </w:rPr>
      </w:pPr>
    </w:p>
    <w:p w14:paraId="5B82250B" w14:textId="77777777" w:rsidR="00D61B9F" w:rsidRPr="00D61B9F" w:rsidRDefault="00034DE6" w:rsidP="00D61B9F">
      <w:pPr>
        <w:widowControl w:val="0"/>
        <w:autoSpaceDE w:val="0"/>
        <w:autoSpaceDN w:val="0"/>
        <w:adjustRightInd w:val="0"/>
        <w:jc w:val="both"/>
        <w:rPr>
          <w:rFonts w:cs="Arial"/>
          <w:szCs w:val="22"/>
        </w:rPr>
      </w:pPr>
      <w:r w:rsidRPr="00D61B9F">
        <w:rPr>
          <w:rFonts w:cs="Arial"/>
          <w:szCs w:val="22"/>
        </w:rPr>
        <w:t xml:space="preserve">Par pašvaldības īpašuma ieguldīšanu </w:t>
      </w:r>
    </w:p>
    <w:p w14:paraId="5B82250C" w14:textId="77777777" w:rsidR="00D61B9F" w:rsidRPr="00D61B9F" w:rsidRDefault="00034DE6" w:rsidP="00D61B9F">
      <w:pPr>
        <w:widowControl w:val="0"/>
        <w:autoSpaceDE w:val="0"/>
        <w:autoSpaceDN w:val="0"/>
        <w:adjustRightInd w:val="0"/>
        <w:jc w:val="both"/>
        <w:rPr>
          <w:rFonts w:cs="Arial"/>
          <w:szCs w:val="22"/>
        </w:rPr>
      </w:pPr>
      <w:r w:rsidRPr="00D61B9F">
        <w:rPr>
          <w:rFonts w:cs="Arial"/>
          <w:szCs w:val="22"/>
        </w:rPr>
        <w:t>SIA "LIEPĀJAS ŪDENS" pamatkapitālā</w:t>
      </w:r>
    </w:p>
    <w:p w14:paraId="5B82250D" w14:textId="77777777" w:rsidR="00D61B9F" w:rsidRPr="00D61B9F" w:rsidRDefault="00D61B9F" w:rsidP="00D61B9F">
      <w:pPr>
        <w:widowControl w:val="0"/>
        <w:autoSpaceDE w:val="0"/>
        <w:autoSpaceDN w:val="0"/>
        <w:adjustRightInd w:val="0"/>
        <w:jc w:val="both"/>
        <w:rPr>
          <w:rFonts w:cs="Arial"/>
          <w:szCs w:val="22"/>
        </w:rPr>
      </w:pPr>
    </w:p>
    <w:p w14:paraId="5B82250E" w14:textId="77777777" w:rsidR="00D61B9F" w:rsidRPr="00D61B9F" w:rsidRDefault="00D61B9F" w:rsidP="00D61B9F">
      <w:pPr>
        <w:jc w:val="both"/>
        <w:rPr>
          <w:rFonts w:eastAsia="Calibri" w:cs="Arial"/>
          <w:szCs w:val="22"/>
          <w:lang w:eastAsia="en-US"/>
        </w:rPr>
      </w:pPr>
    </w:p>
    <w:p w14:paraId="5B82250F"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Sabiedrība ar ierobežotu atbildību "LIEPĀJAS ŪDENS", reģistrācijas Nr.42103000897, ir kapitālsabiedrība, kurā 100% kapitāldaļu pieder Liepājas pilsētas pašvaldībai, un tā organizē pašvaldības autonomās funkcijas izpildi - organizē iedzīvotājiem komunālos pakalpojumus - ūdensapgādi un kanalizāciju.  </w:t>
      </w:r>
    </w:p>
    <w:p w14:paraId="5B822510" w14:textId="0F473B29" w:rsidR="00D61B9F" w:rsidRPr="00D61B9F" w:rsidRDefault="00034DE6" w:rsidP="00D61B9F">
      <w:pPr>
        <w:jc w:val="both"/>
        <w:rPr>
          <w:rFonts w:eastAsia="Calibri" w:cs="Arial"/>
          <w:szCs w:val="22"/>
          <w:lang w:eastAsia="en-US"/>
        </w:rPr>
      </w:pPr>
      <w:r w:rsidRPr="00D61B9F">
        <w:rPr>
          <w:rFonts w:eastAsia="Calibri" w:cs="Arial"/>
          <w:szCs w:val="22"/>
          <w:lang w:eastAsia="en-US"/>
        </w:rPr>
        <w:tab/>
        <w:t xml:space="preserve">Liepājas pilsētas pašvaldības iestāde "Liepājas pilsētas pašvaldības administrācija" 2020.gada 14.augusta vēstulē norāda, ka projekta  "Brīvdabas sporta un aktīvās atpūtas centrs Zirgu salā, Liepājā, 2.kārta" realizācijas rezultātā izveidojušies ilgtermiņa ieguldījumi </w:t>
      </w:r>
      <w:r w:rsidR="00CB0E46">
        <w:rPr>
          <w:rFonts w:eastAsia="Calibri" w:cs="Arial"/>
          <w:szCs w:val="22"/>
          <w:lang w:eastAsia="en-US"/>
        </w:rPr>
        <w:t>1</w:t>
      </w:r>
      <w:r w:rsidRPr="00D61B9F">
        <w:rPr>
          <w:rFonts w:eastAsia="Calibri" w:cs="Arial"/>
          <w:szCs w:val="22"/>
          <w:lang w:eastAsia="en-US"/>
        </w:rPr>
        <w:t>21 080,70 EUR apmērā, kuri ieguldāmi sabiedrības ar ierobežotu atbildību "LIEPĀJAS ŪDENS" (turpmāk arī - SIA "LIEPĀJAS ŪDENS") pamatkapitālā.</w:t>
      </w:r>
    </w:p>
    <w:p w14:paraId="5B822511" w14:textId="77777777" w:rsidR="00D61B9F" w:rsidRPr="00D61B9F" w:rsidRDefault="00034DE6" w:rsidP="00D61B9F">
      <w:pPr>
        <w:jc w:val="both"/>
        <w:rPr>
          <w:rFonts w:eastAsia="Calibri" w:cs="Arial"/>
          <w:szCs w:val="22"/>
          <w:lang w:eastAsia="en-US"/>
        </w:rPr>
      </w:pPr>
      <w:r w:rsidRPr="00D61B9F">
        <w:rPr>
          <w:rFonts w:eastAsia="Calibri" w:cs="Arial"/>
          <w:szCs w:val="22"/>
          <w:lang w:eastAsia="en-US"/>
        </w:rPr>
        <w:tab/>
        <w:t xml:space="preserve">Ar Liepājas pilsētas domes 2015.gada 10.decembra lēmumu Nr.544 "Par kapitālsabiedrībām" apstiprinātajā Liepājas pilsētas pašvaldības dalības vērtējumā kapitālsabiedrībā SIA "LIEPĀJAS ŪDENS" konstatēts: </w:t>
      </w:r>
    </w:p>
    <w:p w14:paraId="5B822512"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Kapitālsabiedrības darbības veids ir ūdensapgādes un kanalizācijas pakalpojumi iedzīvotājiem un uzņēmumiem Liepājas pilsētā, kā arī notekūdeņu attīrīšana. Kapitālsabiedrība 2014.gada 28.oktobrī ir reģistrēta Sabiedrisko pakalpojumu regulēšanas komisijas izveidotājā "Ūdenssaimniecības pakalpojumu sniedzēju reģistrā". Starp kapitālsabiedrību un Liepājas pilsētas domi 2014.gada 25.aprīlī noslēgts Līgums par sabiedrisko ūdenssaimniecības pakalpojumu sniegšanu, kurā pašvaldība piešķir SIA "LIEPĀJAS ŪDENS" ekskluzīvas tiesības sniegt ūdensapgādes un kanalizācijas pakalpojumus Liepājas pilsētas administratīvajā teritorijā. Līdz ar to SIA "LIEPĀJAS ŪDENS" ir vienīgais uzņēmums, kas sniedz centralizētus ūdensapgādes pakalpojumus Liepājas pilsētā. </w:t>
      </w:r>
    </w:p>
    <w:p w14:paraId="5B822513"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Latvijas Nacionālā attīstības plānā 2014.-2020.gadam atbilstoši prioritātei "Izaugsmei atbalstošas teritorijas" iezīmēts svarīgs nosacījums - kvalitatīva dzīves telpa, sakopta un radoša dzīves vide, iespēja nodrošināt iedzīvotājiem līdzvērtīgus dzīves un darba apstākļus, pieeju pakalpojumiem un mobilitāti. Pašvaldības skatījumā tajā liela nozīme ir kvalitatīvam ūdens un kanalizācijas pakalpojumam, tādēļ nozares svarīguma nosacījumi iekļauti Liepājas pilsētas attīstības programmā        </w:t>
      </w:r>
      <w:r>
        <w:rPr>
          <w:rFonts w:eastAsia="Calibri" w:cs="Arial"/>
          <w:szCs w:val="22"/>
          <w:lang w:eastAsia="en-US"/>
        </w:rPr>
        <w:t xml:space="preserve">                          </w:t>
      </w:r>
      <w:r w:rsidRPr="00D61B9F">
        <w:rPr>
          <w:rFonts w:eastAsia="Calibri" w:cs="Arial"/>
          <w:szCs w:val="22"/>
          <w:lang w:eastAsia="en-US"/>
        </w:rPr>
        <w:t xml:space="preserve">                      2015.-2020.gadam, kurā SIA "LIEPĀJAS ŪDENS" noteikti mērķi un uzdevumi: </w:t>
      </w:r>
    </w:p>
    <w:p w14:paraId="5B822514"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Attīstības virziens - Dzīves vide Liepājā. </w:t>
      </w:r>
    </w:p>
    <w:p w14:paraId="5B822515"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Mērķis (M2-2020) - Liepājā ir saglabātas un atjaunotas dabas vērtības un kultūrvēsturiskais mantojums, pilsētas apsaimniekošana ir ilgtspējīga.</w:t>
      </w:r>
    </w:p>
    <w:p w14:paraId="5B822516"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Rīcībpolitika (2.1.) - Videi draudzīga pilsētas apsaimniekošana un dzīvesveids.</w:t>
      </w:r>
    </w:p>
    <w:p w14:paraId="5B822517"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Uzdevumi - Turpināt atjaunot un modernizēt Liepājas pilsētas ūdensapgādes un kanalizācijas tīklus, nodrošināt pēc iespējas visiem pilsētas mājokļiem pieslēgumu centralizētajiem ūdensapgādes un kanalizācijas tīkliem; mazināt krasta erozijas procesus pilsētas ziemeļu daļā pie Liepājas notekūdeņu attīrīšanas iekārtām; īstenot pasākumus meliorācijas sistēmas un lietus ūdens novadīšanas sistēmas sakārtošanā.</w:t>
      </w:r>
    </w:p>
    <w:p w14:paraId="5B822518"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lastRenderedPageBreak/>
        <w:t>Ūdenssaimniecības nozares infrastruktūras attīstībai nepieciešami lieli ilgtermiņa kapitālieguldījumi - nemateriālie (attīstībai, licenču tiesības) un materiālie (komunikāciju un iekārtu uzturēšanai, energoefektivitātei, kā arī paplašināšanai, jo tīklu pārklājums ir nepietiekošs, turklāt pieaug aglomerācija). Teorētiski lielus kapitālieguldījumus varētu veikt arī kāds cits tirgus dalībnieks, bet tad komersanta maksātnespējas gadījumā pašvaldība nespēs operatīvi organizēt iedzīvotājiem ūdensapgādi un kanalizācijas pakalpojumus, kas būtiski ietekmēs sabiedrības ikdienas vajadzības.</w:t>
      </w:r>
    </w:p>
    <w:p w14:paraId="5B822519"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SIA "LIEPĀJAS ŪDENS" darbības stratēģiskie mērķi ūdensapgādē ir paplašināt un atjaunot esošo ūdensapgādes sistēmu, lai nodrošinātu kvalitatīvu dzeramā ūdens apgādi Liepājas pilsētā atbilstoši Eiropas Savienības direktīvas 98/83/EK par dzeramā ūdens kvalitāti un Ministru kabineta 2017.gada 14.novembra noteikumu Nr.671 "Dzeramā ūdens obligātās nekaitīguma un kvalitātes prasības, monitoringa un kontroles kārtība" prasībām. Attiecībā uz kanalizāciju - paplašināt un atjaunot esošo kanalizācijas sistēmu, nodrošināt visu notekūdeņu savākšanu, attīrīšanu un novadīšanu atbilstoši Eiropas Savienības direktīvas 91/271/EEK par komunālo notekūdeņu attīrīšanu un Ministru kabineta 2002.gada 22.janvāra noteikumu Nr.34 "Noteikumi par piesārņojošo vielu emisiju ūdenī" prasībām.   </w:t>
      </w:r>
    </w:p>
    <w:p w14:paraId="5B82251A"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Lai nodrošinātu efektīvu un optimālu ūdens saimniecības infrastruktūras uzturēšanu Liepājas pilsētā, nepieciešama ūdenssaimniecības infrastruktūras atrašanās SIA "LIEPĀJAS ŪDENS" īpašumā. Tādējādi ūdenssaimniecības infrastruktūras atrašanās Liepājas pilsētas pašvaldības īpašumā un grāmatvedības uzskaitē nebūtu uzskatāma par saimnieciski pamatotu, lietderīgāk izlemjams jautājums par pašvaldības īpašumā esošās infrastruktūras ieguldīšanu SIA "LIEPĀJAS ŪDENS" pamatkapitālā.  </w:t>
      </w:r>
    </w:p>
    <w:p w14:paraId="5B82251B"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Sertificēts mantiskā ieguldījuma novērtēšanas eksperts Jānis Rīdūzis (profesionālās kvalifikācijas sertifikāts Nr.60 nekustamā īpašuma vērtēšanā) ir veicis specializētu nekustamo īpašumu (inženierbūvju) novērtēšanu un noteicis mantiskā ieguldījuma vērtību:</w:t>
      </w:r>
    </w:p>
    <w:p w14:paraId="5B82251C" w14:textId="77777777" w:rsidR="00D61B9F" w:rsidRPr="00D61B9F" w:rsidRDefault="00034DE6" w:rsidP="00D61B9F">
      <w:pPr>
        <w:ind w:firstLine="720"/>
        <w:contextualSpacing/>
        <w:jc w:val="both"/>
        <w:rPr>
          <w:rFonts w:eastAsia="Calibri" w:cs="Arial"/>
          <w:szCs w:val="22"/>
          <w:lang w:eastAsia="en-US"/>
        </w:rPr>
      </w:pPr>
      <w:r w:rsidRPr="00D61B9F">
        <w:rPr>
          <w:rFonts w:eastAsia="Calibri" w:cs="Arial"/>
          <w:szCs w:val="22"/>
          <w:lang w:eastAsia="en-US"/>
        </w:rPr>
        <w:t xml:space="preserve">- pamatlīdzeklim, inventāra Nr.1218004 "PE ūdensapgādes cauruļvads               DN25-68.76m, DN40-29.22m, DN63-185,99m; dzelzsbetona ūdensskaitītāja aka D1500-kompl." - 60 300 EUR (sešdesmit tūkstoši trīs simti euro); </w:t>
      </w:r>
    </w:p>
    <w:p w14:paraId="5B82251D" w14:textId="77777777" w:rsidR="00D61B9F" w:rsidRPr="00D61B9F" w:rsidRDefault="00034DE6" w:rsidP="00D61B9F">
      <w:pPr>
        <w:ind w:firstLine="720"/>
        <w:contextualSpacing/>
        <w:jc w:val="both"/>
        <w:rPr>
          <w:rFonts w:eastAsia="Calibri" w:cs="Arial"/>
          <w:szCs w:val="22"/>
          <w:lang w:eastAsia="en-US"/>
        </w:rPr>
      </w:pPr>
      <w:r w:rsidRPr="00D61B9F">
        <w:rPr>
          <w:rFonts w:eastAsia="Calibri" w:cs="Arial"/>
          <w:szCs w:val="22"/>
          <w:lang w:eastAsia="en-US"/>
        </w:rPr>
        <w:t>- pamatlīdzeklim, inventāra Nr.1218005 "PP caurule DN110-9.07,                      DN160-59.82m, DN200-266.77m; skatakas d400-10 gab." - 58 000 EUR (piecdesmit astoņi tūkstoši euro).</w:t>
      </w:r>
    </w:p>
    <w:p w14:paraId="5B82251E"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Pamatojoties uz likuma "Par pašvaldībām" 14.panta pirmās daļas 1.punktu, otrās daļas 3.punktu, 15.panta pirmās daļas 1.punktu, 21.panta pirmās daļas 27.punktu un 77.panta otro daļu, Publiskas personas kapitāla daļu un kapitālsabiedrību pārvaldības likuma 49.panta pirmo daļu, 62.pantu un 63.panta pirmās daļas 1.punktu, Komerclikuma 154.panta pirmo, trešo un ceturto daļu, Publiskas personas mantas atsavināšanas likuma 3.panta pirmās daļas 4.punktu, 5.panta pirmo daļu, 40.pantu un 41.panta trešo daļu, mantiskā ieguldījuma novērtēšanas eksperta Jāņa Rīdūža (sertifikāts Nr.60 nekustamā īpašuma vērtēšanā) Liepājas pilsētas pašvaldībai piederošo specializēto nekustamo īpašumu 2020.gada 23.oktobra novērtējumu un izskatot Liepājas pilsētas domes pastāvīgās Finanšu komitejas 2020.gada 5.novembra lēmumu (sēdes protokols Nr.11), LIEPĀJAS PILSĒTAS DOME</w:t>
      </w:r>
    </w:p>
    <w:p w14:paraId="5B82251F" w14:textId="77777777" w:rsidR="00D61B9F" w:rsidRPr="00D61B9F" w:rsidRDefault="00D61B9F" w:rsidP="00D61B9F">
      <w:pPr>
        <w:ind w:firstLine="360"/>
        <w:jc w:val="both"/>
        <w:rPr>
          <w:rFonts w:eastAsia="Calibri" w:cs="Arial"/>
          <w:szCs w:val="22"/>
          <w:lang w:eastAsia="en-US"/>
        </w:rPr>
      </w:pPr>
    </w:p>
    <w:p w14:paraId="5B822520" w14:textId="77777777" w:rsidR="00D61B9F" w:rsidRPr="00D61B9F" w:rsidRDefault="00034DE6" w:rsidP="00D61B9F">
      <w:pPr>
        <w:spacing w:after="160" w:line="259" w:lineRule="auto"/>
        <w:jc w:val="center"/>
        <w:rPr>
          <w:rFonts w:eastAsia="Calibri" w:cs="Arial"/>
          <w:szCs w:val="22"/>
          <w:lang w:eastAsia="en-US"/>
        </w:rPr>
      </w:pPr>
      <w:r w:rsidRPr="00D61B9F">
        <w:rPr>
          <w:rFonts w:eastAsia="Calibri" w:cs="Arial"/>
          <w:szCs w:val="22"/>
          <w:lang w:eastAsia="en-US"/>
        </w:rPr>
        <w:t>N O L E M J :</w:t>
      </w:r>
    </w:p>
    <w:p w14:paraId="5B822521"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1. Atsavināt Liepājas pilsētas pašvaldībai piederošos pamatlīdzekļus - specializētos nekustamos īpašumus (inženierbūves), ieguldot tos sabiedrības ar ierobežotu atbildību "LIEPĀJAS ŪDENS" pamatkapitālā kā mantisko ieguldījumu atbilstoši Uzņēmuma reģistra atzīta mantiskā ieguldījuma novērtēšanas eksperta Jāņa Rīdūža 2020.gada 23.oktobra novērtējumam par kopējo summu 118 300 EUR (viens simts astoņpadsmit tūkstoši trīs simti euro) saskaņā ar Liepājas pilsētas pašvaldības iestādes "Liepājas pilsētas pašvaldības administrācija" izziņu (pielikumā):</w:t>
      </w:r>
    </w:p>
    <w:p w14:paraId="5B822522"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 xml:space="preserve">1.1. pamatlīdzekli, inventāra Nr.1218004 "PE ūdensapgādes cauruļvads              DN25-68.76m, DN40-29.22m, DN63-185,99m; dzelzsbetona ūdensskaitītāja aka D1500-kompl." par summu 60 300 EUR (sešdesmit tūkstoši trīs simti euro); </w:t>
      </w:r>
    </w:p>
    <w:p w14:paraId="5B822523"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lastRenderedPageBreak/>
        <w:t>1.2. pamatlīdzekli, inventāra Nr.1218005 "PP caurule DN110-9.07,                  DN160-59.82m, DN200-266.77m; skatakas d400-10 gab." par summu 58 000 EUR (piecdesmit astoņi tūkstoši euro).</w:t>
      </w:r>
    </w:p>
    <w:p w14:paraId="5B822524" w14:textId="77777777" w:rsidR="00D61B9F" w:rsidRPr="00D61B9F" w:rsidRDefault="00D61B9F" w:rsidP="00D61B9F">
      <w:pPr>
        <w:jc w:val="both"/>
        <w:rPr>
          <w:rFonts w:eastAsia="Calibri" w:cs="Arial"/>
          <w:sz w:val="10"/>
          <w:szCs w:val="22"/>
          <w:lang w:eastAsia="en-US"/>
        </w:rPr>
      </w:pPr>
    </w:p>
    <w:p w14:paraId="5B822525"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2. Uzdot sabiedrības ar ierobežotu atbildību "LIEPĀJAS ŪDENS" Liepājas pilsētas pašvaldības kapitāla daļu turētāja pārstāvim veikt nepieciešamās darbības lēmuma 1.punkta izpildei.</w:t>
      </w:r>
    </w:p>
    <w:p w14:paraId="5B822526" w14:textId="77777777" w:rsidR="00D61B9F" w:rsidRPr="00D61B9F" w:rsidRDefault="00D61B9F" w:rsidP="00D61B9F">
      <w:pPr>
        <w:jc w:val="both"/>
        <w:rPr>
          <w:rFonts w:eastAsia="Calibri" w:cs="Arial"/>
          <w:sz w:val="10"/>
          <w:szCs w:val="22"/>
          <w:lang w:eastAsia="en-US"/>
        </w:rPr>
      </w:pPr>
    </w:p>
    <w:p w14:paraId="5B822527"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3. Uzdot Liepājas pilsētas pašvaldības iestādes "Liepājas pilsētas pašvaldības administrācija" Finanšu pārvaldei pēc lēmuma 1.punkta izpildes izslēgt atsavināto mantu no grāmatvedības uzskaites, organizēt nodošanas un pieņemšanas akta sagatavošanu un apstiprināšanu par mantas nodošanu sabiedrībai ar ierobežotu atbildību "LIEPĀJAS ŪDENS".</w:t>
      </w:r>
    </w:p>
    <w:p w14:paraId="5B822528" w14:textId="77777777" w:rsidR="00D61B9F" w:rsidRPr="00D61B9F" w:rsidRDefault="00D61B9F" w:rsidP="00D61B9F">
      <w:pPr>
        <w:jc w:val="both"/>
        <w:rPr>
          <w:rFonts w:eastAsia="Calibri" w:cs="Arial"/>
          <w:sz w:val="8"/>
          <w:szCs w:val="22"/>
          <w:lang w:eastAsia="en-US"/>
        </w:rPr>
      </w:pPr>
    </w:p>
    <w:p w14:paraId="5B822529" w14:textId="77777777" w:rsidR="00D61B9F" w:rsidRPr="00D61B9F" w:rsidRDefault="00034DE6" w:rsidP="00D61B9F">
      <w:pPr>
        <w:ind w:firstLine="720"/>
        <w:jc w:val="both"/>
        <w:rPr>
          <w:rFonts w:eastAsia="Calibri" w:cs="Arial"/>
          <w:szCs w:val="22"/>
          <w:lang w:eastAsia="en-US"/>
        </w:rPr>
      </w:pPr>
      <w:r w:rsidRPr="00D61B9F">
        <w:rPr>
          <w:rFonts w:eastAsia="Calibri" w:cs="Arial"/>
          <w:szCs w:val="22"/>
          <w:lang w:eastAsia="en-US"/>
        </w:rPr>
        <w:t>4. Liepājas pilsētas pašvaldības izpilddirektora vietniekam (būvniecības jautājumos) kontrolēt lēmuma izpildi.</w:t>
      </w:r>
    </w:p>
    <w:p w14:paraId="5B82252A" w14:textId="77777777" w:rsidR="00D61B9F" w:rsidRPr="00D61B9F" w:rsidRDefault="00D61B9F" w:rsidP="00D61B9F">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5000A4" w14:paraId="5B82252E" w14:textId="77777777" w:rsidTr="00F44899">
        <w:tc>
          <w:tcPr>
            <w:tcW w:w="5700" w:type="dxa"/>
            <w:gridSpan w:val="2"/>
            <w:tcBorders>
              <w:top w:val="nil"/>
              <w:left w:val="nil"/>
              <w:bottom w:val="nil"/>
              <w:right w:val="nil"/>
            </w:tcBorders>
          </w:tcPr>
          <w:p w14:paraId="5B82252B" w14:textId="77777777" w:rsidR="00D61B9F" w:rsidRPr="00D61B9F" w:rsidRDefault="00034DE6" w:rsidP="00D61B9F">
            <w:pPr>
              <w:widowControl w:val="0"/>
              <w:autoSpaceDE w:val="0"/>
              <w:autoSpaceDN w:val="0"/>
              <w:adjustRightInd w:val="0"/>
              <w:rPr>
                <w:rFonts w:cs="Arial"/>
                <w:szCs w:val="22"/>
              </w:rPr>
            </w:pPr>
            <w:r w:rsidRPr="00D61B9F">
              <w:rPr>
                <w:rFonts w:cs="Arial"/>
                <w:szCs w:val="22"/>
              </w:rPr>
              <w:t>DOMES PRIEKŠSĒDĒTĀJS</w:t>
            </w:r>
          </w:p>
        </w:tc>
        <w:tc>
          <w:tcPr>
            <w:tcW w:w="2921" w:type="dxa"/>
            <w:tcBorders>
              <w:top w:val="nil"/>
              <w:left w:val="nil"/>
              <w:bottom w:val="nil"/>
              <w:right w:val="nil"/>
            </w:tcBorders>
          </w:tcPr>
          <w:p w14:paraId="5B82252C" w14:textId="77777777" w:rsidR="00D61B9F" w:rsidRPr="00D61B9F" w:rsidRDefault="00034DE6" w:rsidP="00D61B9F">
            <w:pPr>
              <w:widowControl w:val="0"/>
              <w:autoSpaceDE w:val="0"/>
              <w:autoSpaceDN w:val="0"/>
              <w:adjustRightInd w:val="0"/>
              <w:jc w:val="right"/>
              <w:rPr>
                <w:rFonts w:cs="Arial"/>
                <w:szCs w:val="22"/>
              </w:rPr>
            </w:pPr>
            <w:r w:rsidRPr="00D61B9F">
              <w:rPr>
                <w:rFonts w:cs="Arial"/>
                <w:szCs w:val="22"/>
              </w:rPr>
              <w:t>Jānis VILNĪTIS</w:t>
            </w:r>
          </w:p>
          <w:p w14:paraId="5B82252D" w14:textId="77777777" w:rsidR="00D61B9F" w:rsidRPr="00D61B9F" w:rsidRDefault="00D61B9F" w:rsidP="00D61B9F">
            <w:pPr>
              <w:widowControl w:val="0"/>
              <w:autoSpaceDE w:val="0"/>
              <w:autoSpaceDN w:val="0"/>
              <w:adjustRightInd w:val="0"/>
              <w:jc w:val="right"/>
              <w:rPr>
                <w:rFonts w:cs="Arial"/>
                <w:sz w:val="8"/>
                <w:szCs w:val="22"/>
              </w:rPr>
            </w:pPr>
          </w:p>
        </w:tc>
      </w:tr>
      <w:tr w:rsidR="005000A4" w14:paraId="5B822532" w14:textId="77777777" w:rsidTr="00F44899">
        <w:tc>
          <w:tcPr>
            <w:tcW w:w="1250" w:type="dxa"/>
            <w:tcBorders>
              <w:top w:val="nil"/>
              <w:left w:val="nil"/>
              <w:bottom w:val="nil"/>
              <w:right w:val="nil"/>
            </w:tcBorders>
          </w:tcPr>
          <w:p w14:paraId="5B82252F" w14:textId="77777777" w:rsidR="00D61B9F" w:rsidRPr="00D61B9F" w:rsidRDefault="00034DE6" w:rsidP="00D61B9F">
            <w:pPr>
              <w:widowControl w:val="0"/>
              <w:autoSpaceDE w:val="0"/>
              <w:autoSpaceDN w:val="0"/>
              <w:adjustRightInd w:val="0"/>
              <w:rPr>
                <w:rFonts w:cs="Arial"/>
                <w:szCs w:val="22"/>
              </w:rPr>
            </w:pPr>
            <w:r w:rsidRPr="00D61B9F">
              <w:rPr>
                <w:rFonts w:cs="Arial"/>
                <w:szCs w:val="22"/>
              </w:rPr>
              <w:t>Nosūtāms:</w:t>
            </w:r>
          </w:p>
        </w:tc>
        <w:tc>
          <w:tcPr>
            <w:tcW w:w="7371" w:type="dxa"/>
            <w:gridSpan w:val="2"/>
            <w:tcBorders>
              <w:top w:val="nil"/>
              <w:left w:val="nil"/>
              <w:bottom w:val="nil"/>
              <w:right w:val="nil"/>
            </w:tcBorders>
          </w:tcPr>
          <w:p w14:paraId="5B822530" w14:textId="77777777" w:rsidR="00D61B9F" w:rsidRPr="00D61B9F" w:rsidRDefault="00034DE6" w:rsidP="00D61B9F">
            <w:pPr>
              <w:widowControl w:val="0"/>
              <w:autoSpaceDE w:val="0"/>
              <w:autoSpaceDN w:val="0"/>
              <w:adjustRightInd w:val="0"/>
              <w:jc w:val="both"/>
              <w:rPr>
                <w:rFonts w:cs="Arial"/>
                <w:szCs w:val="22"/>
              </w:rPr>
            </w:pPr>
            <w:r w:rsidRPr="00D61B9F">
              <w:rPr>
                <w:rFonts w:eastAsia="Calibri" w:cs="Arial"/>
                <w:szCs w:val="22"/>
                <w:lang w:eastAsia="en-US"/>
              </w:rPr>
              <w:t>Finanšu pārvaldei, Juridiskajai daļai, Nekustamā īpašuma pārvaldei,            SIA "LIEPĀJAS ŪDENS" 2 eks., Kapitālsabiedrību pārvaldības uzraudzības un revīzijas daļai</w:t>
            </w:r>
          </w:p>
          <w:p w14:paraId="5B822531" w14:textId="77777777" w:rsidR="00D61B9F" w:rsidRPr="00D61B9F" w:rsidRDefault="00D61B9F" w:rsidP="00D61B9F">
            <w:pPr>
              <w:widowControl w:val="0"/>
              <w:autoSpaceDE w:val="0"/>
              <w:autoSpaceDN w:val="0"/>
              <w:adjustRightInd w:val="0"/>
              <w:rPr>
                <w:rFonts w:cs="Arial"/>
                <w:szCs w:val="22"/>
              </w:rPr>
            </w:pPr>
          </w:p>
        </w:tc>
      </w:tr>
    </w:tbl>
    <w:p w14:paraId="5B822533" w14:textId="77777777" w:rsidR="00D61B9F" w:rsidRPr="00D61B9F" w:rsidRDefault="00D61B9F" w:rsidP="00034DE6">
      <w:pPr>
        <w:rPr>
          <w:rFonts w:cs="Arial"/>
          <w:sz w:val="20"/>
          <w:szCs w:val="20"/>
        </w:rPr>
      </w:pPr>
    </w:p>
    <w:sectPr w:rsidR="00D61B9F" w:rsidRPr="00D61B9F" w:rsidSect="004876B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9F0D" w14:textId="77777777" w:rsidR="00901D34" w:rsidRDefault="00901D34">
      <w:r>
        <w:separator/>
      </w:r>
    </w:p>
  </w:endnote>
  <w:endnote w:type="continuationSeparator" w:id="0">
    <w:p w14:paraId="7690E7ED" w14:textId="77777777" w:rsidR="00901D34" w:rsidRDefault="0090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54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54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54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B3FF" w14:textId="77777777" w:rsidR="00901D34" w:rsidRDefault="00901D34">
      <w:r>
        <w:separator/>
      </w:r>
    </w:p>
  </w:footnote>
  <w:footnote w:type="continuationSeparator" w:id="0">
    <w:p w14:paraId="4D1F2334" w14:textId="77777777" w:rsidR="00901D34" w:rsidRDefault="0090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54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54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549" w14:textId="77777777" w:rsidR="00EB209C" w:rsidRPr="00AE2B38" w:rsidRDefault="00034DE6" w:rsidP="00EB209C">
    <w:pPr>
      <w:pStyle w:val="Header"/>
      <w:tabs>
        <w:tab w:val="left" w:pos="3828"/>
      </w:tabs>
      <w:jc w:val="center"/>
      <w:rPr>
        <w:rFonts w:ascii="Arial" w:hAnsi="Arial" w:cs="Arial"/>
      </w:rPr>
    </w:pPr>
    <w:r w:rsidRPr="00A136A6">
      <w:rPr>
        <w:noProof/>
        <w:lang w:eastAsia="lv-LV"/>
      </w:rPr>
      <w:drawing>
        <wp:inline distT="0" distB="0" distL="0" distR="0" wp14:anchorId="5B82254E" wp14:editId="5B82254F">
          <wp:extent cx="666115" cy="755650"/>
          <wp:effectExtent l="0" t="0" r="635" b="6350"/>
          <wp:docPr id="4" name="Picture 4"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739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B82254A" w14:textId="77777777" w:rsidR="00EB209C" w:rsidRPr="00356E0F" w:rsidRDefault="00034DE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B82254B" w14:textId="77777777" w:rsidR="001002D7" w:rsidRDefault="00034DE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82254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8BA1698">
      <w:numFmt w:val="bullet"/>
      <w:lvlText w:val="-"/>
      <w:lvlJc w:val="left"/>
      <w:pPr>
        <w:ind w:left="720" w:hanging="360"/>
      </w:pPr>
      <w:rPr>
        <w:rFonts w:ascii="Times New Roman" w:eastAsia="Calibri" w:hAnsi="Times New Roman" w:cs="Times New Roman" w:hint="default"/>
        <w:color w:val="1F497D"/>
      </w:rPr>
    </w:lvl>
    <w:lvl w:ilvl="1" w:tplc="0B900880">
      <w:start w:val="1"/>
      <w:numFmt w:val="bullet"/>
      <w:lvlText w:val="o"/>
      <w:lvlJc w:val="left"/>
      <w:pPr>
        <w:ind w:left="1440" w:hanging="360"/>
      </w:pPr>
      <w:rPr>
        <w:rFonts w:ascii="Courier New" w:hAnsi="Courier New" w:cs="Courier New" w:hint="default"/>
      </w:rPr>
    </w:lvl>
    <w:lvl w:ilvl="2" w:tplc="975AC8CC">
      <w:start w:val="1"/>
      <w:numFmt w:val="bullet"/>
      <w:lvlText w:val=""/>
      <w:lvlJc w:val="left"/>
      <w:pPr>
        <w:ind w:left="2160" w:hanging="360"/>
      </w:pPr>
      <w:rPr>
        <w:rFonts w:ascii="Wingdings" w:hAnsi="Wingdings" w:hint="default"/>
      </w:rPr>
    </w:lvl>
    <w:lvl w:ilvl="3" w:tplc="B072AAD6">
      <w:start w:val="1"/>
      <w:numFmt w:val="bullet"/>
      <w:lvlText w:val=""/>
      <w:lvlJc w:val="left"/>
      <w:pPr>
        <w:ind w:left="2880" w:hanging="360"/>
      </w:pPr>
      <w:rPr>
        <w:rFonts w:ascii="Symbol" w:hAnsi="Symbol" w:hint="default"/>
      </w:rPr>
    </w:lvl>
    <w:lvl w:ilvl="4" w:tplc="849835EC">
      <w:start w:val="1"/>
      <w:numFmt w:val="bullet"/>
      <w:lvlText w:val="o"/>
      <w:lvlJc w:val="left"/>
      <w:pPr>
        <w:ind w:left="3600" w:hanging="360"/>
      </w:pPr>
      <w:rPr>
        <w:rFonts w:ascii="Courier New" w:hAnsi="Courier New" w:cs="Courier New" w:hint="default"/>
      </w:rPr>
    </w:lvl>
    <w:lvl w:ilvl="5" w:tplc="035884E0">
      <w:start w:val="1"/>
      <w:numFmt w:val="bullet"/>
      <w:lvlText w:val=""/>
      <w:lvlJc w:val="left"/>
      <w:pPr>
        <w:ind w:left="4320" w:hanging="360"/>
      </w:pPr>
      <w:rPr>
        <w:rFonts w:ascii="Wingdings" w:hAnsi="Wingdings" w:hint="default"/>
      </w:rPr>
    </w:lvl>
    <w:lvl w:ilvl="6" w:tplc="F21A6E3C">
      <w:start w:val="1"/>
      <w:numFmt w:val="bullet"/>
      <w:lvlText w:val=""/>
      <w:lvlJc w:val="left"/>
      <w:pPr>
        <w:ind w:left="5040" w:hanging="360"/>
      </w:pPr>
      <w:rPr>
        <w:rFonts w:ascii="Symbol" w:hAnsi="Symbol" w:hint="default"/>
      </w:rPr>
    </w:lvl>
    <w:lvl w:ilvl="7" w:tplc="7B7A7F32">
      <w:start w:val="1"/>
      <w:numFmt w:val="bullet"/>
      <w:lvlText w:val="o"/>
      <w:lvlJc w:val="left"/>
      <w:pPr>
        <w:ind w:left="5760" w:hanging="360"/>
      </w:pPr>
      <w:rPr>
        <w:rFonts w:ascii="Courier New" w:hAnsi="Courier New" w:cs="Courier New" w:hint="default"/>
      </w:rPr>
    </w:lvl>
    <w:lvl w:ilvl="8" w:tplc="44FCC2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7C7B36">
      <w:start w:val="1"/>
      <w:numFmt w:val="bullet"/>
      <w:lvlText w:val=""/>
      <w:lvlJc w:val="left"/>
      <w:pPr>
        <w:ind w:left="720" w:hanging="360"/>
      </w:pPr>
      <w:rPr>
        <w:rFonts w:ascii="Symbol" w:hAnsi="Symbol" w:hint="default"/>
      </w:rPr>
    </w:lvl>
    <w:lvl w:ilvl="1" w:tplc="55E0DB08" w:tentative="1">
      <w:start w:val="1"/>
      <w:numFmt w:val="bullet"/>
      <w:lvlText w:val="o"/>
      <w:lvlJc w:val="left"/>
      <w:pPr>
        <w:ind w:left="1440" w:hanging="360"/>
      </w:pPr>
      <w:rPr>
        <w:rFonts w:ascii="Courier New" w:hAnsi="Courier New" w:cs="Courier New" w:hint="default"/>
      </w:rPr>
    </w:lvl>
    <w:lvl w:ilvl="2" w:tplc="3E5A97E6" w:tentative="1">
      <w:start w:val="1"/>
      <w:numFmt w:val="bullet"/>
      <w:lvlText w:val=""/>
      <w:lvlJc w:val="left"/>
      <w:pPr>
        <w:ind w:left="2160" w:hanging="360"/>
      </w:pPr>
      <w:rPr>
        <w:rFonts w:ascii="Wingdings" w:hAnsi="Wingdings" w:hint="default"/>
      </w:rPr>
    </w:lvl>
    <w:lvl w:ilvl="3" w:tplc="CAC6AA66" w:tentative="1">
      <w:start w:val="1"/>
      <w:numFmt w:val="bullet"/>
      <w:lvlText w:val=""/>
      <w:lvlJc w:val="left"/>
      <w:pPr>
        <w:ind w:left="2880" w:hanging="360"/>
      </w:pPr>
      <w:rPr>
        <w:rFonts w:ascii="Symbol" w:hAnsi="Symbol" w:hint="default"/>
      </w:rPr>
    </w:lvl>
    <w:lvl w:ilvl="4" w:tplc="BADE8BF6" w:tentative="1">
      <w:start w:val="1"/>
      <w:numFmt w:val="bullet"/>
      <w:lvlText w:val="o"/>
      <w:lvlJc w:val="left"/>
      <w:pPr>
        <w:ind w:left="3600" w:hanging="360"/>
      </w:pPr>
      <w:rPr>
        <w:rFonts w:ascii="Courier New" w:hAnsi="Courier New" w:cs="Courier New" w:hint="default"/>
      </w:rPr>
    </w:lvl>
    <w:lvl w:ilvl="5" w:tplc="C01EE48E" w:tentative="1">
      <w:start w:val="1"/>
      <w:numFmt w:val="bullet"/>
      <w:lvlText w:val=""/>
      <w:lvlJc w:val="left"/>
      <w:pPr>
        <w:ind w:left="4320" w:hanging="360"/>
      </w:pPr>
      <w:rPr>
        <w:rFonts w:ascii="Wingdings" w:hAnsi="Wingdings" w:hint="default"/>
      </w:rPr>
    </w:lvl>
    <w:lvl w:ilvl="6" w:tplc="9D740E48" w:tentative="1">
      <w:start w:val="1"/>
      <w:numFmt w:val="bullet"/>
      <w:lvlText w:val=""/>
      <w:lvlJc w:val="left"/>
      <w:pPr>
        <w:ind w:left="5040" w:hanging="360"/>
      </w:pPr>
      <w:rPr>
        <w:rFonts w:ascii="Symbol" w:hAnsi="Symbol" w:hint="default"/>
      </w:rPr>
    </w:lvl>
    <w:lvl w:ilvl="7" w:tplc="1CA06FA2" w:tentative="1">
      <w:start w:val="1"/>
      <w:numFmt w:val="bullet"/>
      <w:lvlText w:val="o"/>
      <w:lvlJc w:val="left"/>
      <w:pPr>
        <w:ind w:left="5760" w:hanging="360"/>
      </w:pPr>
      <w:rPr>
        <w:rFonts w:ascii="Courier New" w:hAnsi="Courier New" w:cs="Courier New" w:hint="default"/>
      </w:rPr>
    </w:lvl>
    <w:lvl w:ilvl="8" w:tplc="FF225F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1E4A10">
      <w:start w:val="1"/>
      <w:numFmt w:val="bullet"/>
      <w:lvlText w:val=""/>
      <w:lvlJc w:val="left"/>
      <w:pPr>
        <w:ind w:left="720" w:hanging="360"/>
      </w:pPr>
      <w:rPr>
        <w:rFonts w:ascii="Symbol" w:hAnsi="Symbol" w:hint="default"/>
      </w:rPr>
    </w:lvl>
    <w:lvl w:ilvl="1" w:tplc="C2B672FC" w:tentative="1">
      <w:start w:val="1"/>
      <w:numFmt w:val="bullet"/>
      <w:lvlText w:val="o"/>
      <w:lvlJc w:val="left"/>
      <w:pPr>
        <w:ind w:left="1440" w:hanging="360"/>
      </w:pPr>
      <w:rPr>
        <w:rFonts w:ascii="Courier New" w:hAnsi="Courier New" w:cs="Courier New" w:hint="default"/>
      </w:rPr>
    </w:lvl>
    <w:lvl w:ilvl="2" w:tplc="98B0130A" w:tentative="1">
      <w:start w:val="1"/>
      <w:numFmt w:val="bullet"/>
      <w:lvlText w:val=""/>
      <w:lvlJc w:val="left"/>
      <w:pPr>
        <w:ind w:left="2160" w:hanging="360"/>
      </w:pPr>
      <w:rPr>
        <w:rFonts w:ascii="Wingdings" w:hAnsi="Wingdings" w:hint="default"/>
      </w:rPr>
    </w:lvl>
    <w:lvl w:ilvl="3" w:tplc="EBA0ED00" w:tentative="1">
      <w:start w:val="1"/>
      <w:numFmt w:val="bullet"/>
      <w:lvlText w:val=""/>
      <w:lvlJc w:val="left"/>
      <w:pPr>
        <w:ind w:left="2880" w:hanging="360"/>
      </w:pPr>
      <w:rPr>
        <w:rFonts w:ascii="Symbol" w:hAnsi="Symbol" w:hint="default"/>
      </w:rPr>
    </w:lvl>
    <w:lvl w:ilvl="4" w:tplc="E10E7278" w:tentative="1">
      <w:start w:val="1"/>
      <w:numFmt w:val="bullet"/>
      <w:lvlText w:val="o"/>
      <w:lvlJc w:val="left"/>
      <w:pPr>
        <w:ind w:left="3600" w:hanging="360"/>
      </w:pPr>
      <w:rPr>
        <w:rFonts w:ascii="Courier New" w:hAnsi="Courier New" w:cs="Courier New" w:hint="default"/>
      </w:rPr>
    </w:lvl>
    <w:lvl w:ilvl="5" w:tplc="FCF261AA" w:tentative="1">
      <w:start w:val="1"/>
      <w:numFmt w:val="bullet"/>
      <w:lvlText w:val=""/>
      <w:lvlJc w:val="left"/>
      <w:pPr>
        <w:ind w:left="4320" w:hanging="360"/>
      </w:pPr>
      <w:rPr>
        <w:rFonts w:ascii="Wingdings" w:hAnsi="Wingdings" w:hint="default"/>
      </w:rPr>
    </w:lvl>
    <w:lvl w:ilvl="6" w:tplc="554CD9AE" w:tentative="1">
      <w:start w:val="1"/>
      <w:numFmt w:val="bullet"/>
      <w:lvlText w:val=""/>
      <w:lvlJc w:val="left"/>
      <w:pPr>
        <w:ind w:left="5040" w:hanging="360"/>
      </w:pPr>
      <w:rPr>
        <w:rFonts w:ascii="Symbol" w:hAnsi="Symbol" w:hint="default"/>
      </w:rPr>
    </w:lvl>
    <w:lvl w:ilvl="7" w:tplc="6122DAE4" w:tentative="1">
      <w:start w:val="1"/>
      <w:numFmt w:val="bullet"/>
      <w:lvlText w:val="o"/>
      <w:lvlJc w:val="left"/>
      <w:pPr>
        <w:ind w:left="5760" w:hanging="360"/>
      </w:pPr>
      <w:rPr>
        <w:rFonts w:ascii="Courier New" w:hAnsi="Courier New" w:cs="Courier New" w:hint="default"/>
      </w:rPr>
    </w:lvl>
    <w:lvl w:ilvl="8" w:tplc="109A49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540C556">
      <w:start w:val="1"/>
      <w:numFmt w:val="bullet"/>
      <w:lvlText w:val=""/>
      <w:lvlJc w:val="left"/>
      <w:pPr>
        <w:ind w:left="804" w:hanging="360"/>
      </w:pPr>
      <w:rPr>
        <w:rFonts w:ascii="Symbol" w:hAnsi="Symbol" w:hint="default"/>
      </w:rPr>
    </w:lvl>
    <w:lvl w:ilvl="1" w:tplc="1C14ACDA" w:tentative="1">
      <w:start w:val="1"/>
      <w:numFmt w:val="bullet"/>
      <w:lvlText w:val="o"/>
      <w:lvlJc w:val="left"/>
      <w:pPr>
        <w:ind w:left="1524" w:hanging="360"/>
      </w:pPr>
      <w:rPr>
        <w:rFonts w:ascii="Courier New" w:hAnsi="Courier New" w:cs="Courier New" w:hint="default"/>
      </w:rPr>
    </w:lvl>
    <w:lvl w:ilvl="2" w:tplc="D05CEC2A" w:tentative="1">
      <w:start w:val="1"/>
      <w:numFmt w:val="bullet"/>
      <w:lvlText w:val=""/>
      <w:lvlJc w:val="left"/>
      <w:pPr>
        <w:ind w:left="2244" w:hanging="360"/>
      </w:pPr>
      <w:rPr>
        <w:rFonts w:ascii="Wingdings" w:hAnsi="Wingdings" w:hint="default"/>
      </w:rPr>
    </w:lvl>
    <w:lvl w:ilvl="3" w:tplc="AC326B1C" w:tentative="1">
      <w:start w:val="1"/>
      <w:numFmt w:val="bullet"/>
      <w:lvlText w:val=""/>
      <w:lvlJc w:val="left"/>
      <w:pPr>
        <w:ind w:left="2964" w:hanging="360"/>
      </w:pPr>
      <w:rPr>
        <w:rFonts w:ascii="Symbol" w:hAnsi="Symbol" w:hint="default"/>
      </w:rPr>
    </w:lvl>
    <w:lvl w:ilvl="4" w:tplc="7E701EF0" w:tentative="1">
      <w:start w:val="1"/>
      <w:numFmt w:val="bullet"/>
      <w:lvlText w:val="o"/>
      <w:lvlJc w:val="left"/>
      <w:pPr>
        <w:ind w:left="3684" w:hanging="360"/>
      </w:pPr>
      <w:rPr>
        <w:rFonts w:ascii="Courier New" w:hAnsi="Courier New" w:cs="Courier New" w:hint="default"/>
      </w:rPr>
    </w:lvl>
    <w:lvl w:ilvl="5" w:tplc="5CB4BE1E" w:tentative="1">
      <w:start w:val="1"/>
      <w:numFmt w:val="bullet"/>
      <w:lvlText w:val=""/>
      <w:lvlJc w:val="left"/>
      <w:pPr>
        <w:ind w:left="4404" w:hanging="360"/>
      </w:pPr>
      <w:rPr>
        <w:rFonts w:ascii="Wingdings" w:hAnsi="Wingdings" w:hint="default"/>
      </w:rPr>
    </w:lvl>
    <w:lvl w:ilvl="6" w:tplc="0A165B84" w:tentative="1">
      <w:start w:val="1"/>
      <w:numFmt w:val="bullet"/>
      <w:lvlText w:val=""/>
      <w:lvlJc w:val="left"/>
      <w:pPr>
        <w:ind w:left="5124" w:hanging="360"/>
      </w:pPr>
      <w:rPr>
        <w:rFonts w:ascii="Symbol" w:hAnsi="Symbol" w:hint="default"/>
      </w:rPr>
    </w:lvl>
    <w:lvl w:ilvl="7" w:tplc="6C38FDAA" w:tentative="1">
      <w:start w:val="1"/>
      <w:numFmt w:val="bullet"/>
      <w:lvlText w:val="o"/>
      <w:lvlJc w:val="left"/>
      <w:pPr>
        <w:ind w:left="5844" w:hanging="360"/>
      </w:pPr>
      <w:rPr>
        <w:rFonts w:ascii="Courier New" w:hAnsi="Courier New" w:cs="Courier New" w:hint="default"/>
      </w:rPr>
    </w:lvl>
    <w:lvl w:ilvl="8" w:tplc="F940D7C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F9E5D26">
      <w:start w:val="1"/>
      <w:numFmt w:val="bullet"/>
      <w:lvlText w:val=""/>
      <w:lvlJc w:val="left"/>
      <w:pPr>
        <w:ind w:left="804" w:hanging="360"/>
      </w:pPr>
      <w:rPr>
        <w:rFonts w:ascii="Wingdings" w:hAnsi="Wingdings" w:hint="default"/>
      </w:rPr>
    </w:lvl>
    <w:lvl w:ilvl="1" w:tplc="D916CCB6" w:tentative="1">
      <w:start w:val="1"/>
      <w:numFmt w:val="bullet"/>
      <w:lvlText w:val="o"/>
      <w:lvlJc w:val="left"/>
      <w:pPr>
        <w:ind w:left="1524" w:hanging="360"/>
      </w:pPr>
      <w:rPr>
        <w:rFonts w:ascii="Courier New" w:hAnsi="Courier New" w:cs="Courier New" w:hint="default"/>
      </w:rPr>
    </w:lvl>
    <w:lvl w:ilvl="2" w:tplc="2228AD5E" w:tentative="1">
      <w:start w:val="1"/>
      <w:numFmt w:val="bullet"/>
      <w:lvlText w:val=""/>
      <w:lvlJc w:val="left"/>
      <w:pPr>
        <w:ind w:left="2244" w:hanging="360"/>
      </w:pPr>
      <w:rPr>
        <w:rFonts w:ascii="Wingdings" w:hAnsi="Wingdings" w:hint="default"/>
      </w:rPr>
    </w:lvl>
    <w:lvl w:ilvl="3" w:tplc="71D2F110" w:tentative="1">
      <w:start w:val="1"/>
      <w:numFmt w:val="bullet"/>
      <w:lvlText w:val=""/>
      <w:lvlJc w:val="left"/>
      <w:pPr>
        <w:ind w:left="2964" w:hanging="360"/>
      </w:pPr>
      <w:rPr>
        <w:rFonts w:ascii="Symbol" w:hAnsi="Symbol" w:hint="default"/>
      </w:rPr>
    </w:lvl>
    <w:lvl w:ilvl="4" w:tplc="BC9C489C" w:tentative="1">
      <w:start w:val="1"/>
      <w:numFmt w:val="bullet"/>
      <w:lvlText w:val="o"/>
      <w:lvlJc w:val="left"/>
      <w:pPr>
        <w:ind w:left="3684" w:hanging="360"/>
      </w:pPr>
      <w:rPr>
        <w:rFonts w:ascii="Courier New" w:hAnsi="Courier New" w:cs="Courier New" w:hint="default"/>
      </w:rPr>
    </w:lvl>
    <w:lvl w:ilvl="5" w:tplc="158616EC" w:tentative="1">
      <w:start w:val="1"/>
      <w:numFmt w:val="bullet"/>
      <w:lvlText w:val=""/>
      <w:lvlJc w:val="left"/>
      <w:pPr>
        <w:ind w:left="4404" w:hanging="360"/>
      </w:pPr>
      <w:rPr>
        <w:rFonts w:ascii="Wingdings" w:hAnsi="Wingdings" w:hint="default"/>
      </w:rPr>
    </w:lvl>
    <w:lvl w:ilvl="6" w:tplc="E38E80F2" w:tentative="1">
      <w:start w:val="1"/>
      <w:numFmt w:val="bullet"/>
      <w:lvlText w:val=""/>
      <w:lvlJc w:val="left"/>
      <w:pPr>
        <w:ind w:left="5124" w:hanging="360"/>
      </w:pPr>
      <w:rPr>
        <w:rFonts w:ascii="Symbol" w:hAnsi="Symbol" w:hint="default"/>
      </w:rPr>
    </w:lvl>
    <w:lvl w:ilvl="7" w:tplc="53E6FEA2" w:tentative="1">
      <w:start w:val="1"/>
      <w:numFmt w:val="bullet"/>
      <w:lvlText w:val="o"/>
      <w:lvlJc w:val="left"/>
      <w:pPr>
        <w:ind w:left="5844" w:hanging="360"/>
      </w:pPr>
      <w:rPr>
        <w:rFonts w:ascii="Courier New" w:hAnsi="Courier New" w:cs="Courier New" w:hint="default"/>
      </w:rPr>
    </w:lvl>
    <w:lvl w:ilvl="8" w:tplc="29F030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C26E4D4">
      <w:start w:val="1"/>
      <w:numFmt w:val="bullet"/>
      <w:lvlText w:val=""/>
      <w:lvlJc w:val="left"/>
      <w:pPr>
        <w:ind w:left="1080" w:hanging="360"/>
      </w:pPr>
      <w:rPr>
        <w:rFonts w:ascii="Symbol" w:hAnsi="Symbol" w:hint="default"/>
      </w:rPr>
    </w:lvl>
    <w:lvl w:ilvl="1" w:tplc="467A2596" w:tentative="1">
      <w:start w:val="1"/>
      <w:numFmt w:val="bullet"/>
      <w:lvlText w:val="o"/>
      <w:lvlJc w:val="left"/>
      <w:pPr>
        <w:ind w:left="1800" w:hanging="360"/>
      </w:pPr>
      <w:rPr>
        <w:rFonts w:ascii="Courier New" w:hAnsi="Courier New" w:cs="Courier New" w:hint="default"/>
      </w:rPr>
    </w:lvl>
    <w:lvl w:ilvl="2" w:tplc="30A2201A" w:tentative="1">
      <w:start w:val="1"/>
      <w:numFmt w:val="bullet"/>
      <w:lvlText w:val=""/>
      <w:lvlJc w:val="left"/>
      <w:pPr>
        <w:ind w:left="2520" w:hanging="360"/>
      </w:pPr>
      <w:rPr>
        <w:rFonts w:ascii="Wingdings" w:hAnsi="Wingdings" w:hint="default"/>
      </w:rPr>
    </w:lvl>
    <w:lvl w:ilvl="3" w:tplc="0BCE5E0C" w:tentative="1">
      <w:start w:val="1"/>
      <w:numFmt w:val="bullet"/>
      <w:lvlText w:val=""/>
      <w:lvlJc w:val="left"/>
      <w:pPr>
        <w:ind w:left="3240" w:hanging="360"/>
      </w:pPr>
      <w:rPr>
        <w:rFonts w:ascii="Symbol" w:hAnsi="Symbol" w:hint="default"/>
      </w:rPr>
    </w:lvl>
    <w:lvl w:ilvl="4" w:tplc="5BECD5BE" w:tentative="1">
      <w:start w:val="1"/>
      <w:numFmt w:val="bullet"/>
      <w:lvlText w:val="o"/>
      <w:lvlJc w:val="left"/>
      <w:pPr>
        <w:ind w:left="3960" w:hanging="360"/>
      </w:pPr>
      <w:rPr>
        <w:rFonts w:ascii="Courier New" w:hAnsi="Courier New" w:cs="Courier New" w:hint="default"/>
      </w:rPr>
    </w:lvl>
    <w:lvl w:ilvl="5" w:tplc="59E2BEFA" w:tentative="1">
      <w:start w:val="1"/>
      <w:numFmt w:val="bullet"/>
      <w:lvlText w:val=""/>
      <w:lvlJc w:val="left"/>
      <w:pPr>
        <w:ind w:left="4680" w:hanging="360"/>
      </w:pPr>
      <w:rPr>
        <w:rFonts w:ascii="Wingdings" w:hAnsi="Wingdings" w:hint="default"/>
      </w:rPr>
    </w:lvl>
    <w:lvl w:ilvl="6" w:tplc="FAC2A438" w:tentative="1">
      <w:start w:val="1"/>
      <w:numFmt w:val="bullet"/>
      <w:lvlText w:val=""/>
      <w:lvlJc w:val="left"/>
      <w:pPr>
        <w:ind w:left="5400" w:hanging="360"/>
      </w:pPr>
      <w:rPr>
        <w:rFonts w:ascii="Symbol" w:hAnsi="Symbol" w:hint="default"/>
      </w:rPr>
    </w:lvl>
    <w:lvl w:ilvl="7" w:tplc="83F278E8" w:tentative="1">
      <w:start w:val="1"/>
      <w:numFmt w:val="bullet"/>
      <w:lvlText w:val="o"/>
      <w:lvlJc w:val="left"/>
      <w:pPr>
        <w:ind w:left="6120" w:hanging="360"/>
      </w:pPr>
      <w:rPr>
        <w:rFonts w:ascii="Courier New" w:hAnsi="Courier New" w:cs="Courier New" w:hint="default"/>
      </w:rPr>
    </w:lvl>
    <w:lvl w:ilvl="8" w:tplc="CA9C67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50EE690">
      <w:start w:val="1"/>
      <w:numFmt w:val="bullet"/>
      <w:lvlText w:val=""/>
      <w:lvlJc w:val="left"/>
      <w:pPr>
        <w:ind w:left="720" w:hanging="360"/>
      </w:pPr>
      <w:rPr>
        <w:rFonts w:ascii="Symbol" w:hAnsi="Symbol" w:hint="default"/>
      </w:rPr>
    </w:lvl>
    <w:lvl w:ilvl="1" w:tplc="AF8AF3A6" w:tentative="1">
      <w:start w:val="1"/>
      <w:numFmt w:val="bullet"/>
      <w:lvlText w:val="o"/>
      <w:lvlJc w:val="left"/>
      <w:pPr>
        <w:ind w:left="1440" w:hanging="360"/>
      </w:pPr>
      <w:rPr>
        <w:rFonts w:ascii="Courier New" w:hAnsi="Courier New" w:cs="Courier New" w:hint="default"/>
      </w:rPr>
    </w:lvl>
    <w:lvl w:ilvl="2" w:tplc="C7FA7D68" w:tentative="1">
      <w:start w:val="1"/>
      <w:numFmt w:val="bullet"/>
      <w:lvlText w:val=""/>
      <w:lvlJc w:val="left"/>
      <w:pPr>
        <w:ind w:left="2160" w:hanging="360"/>
      </w:pPr>
      <w:rPr>
        <w:rFonts w:ascii="Wingdings" w:hAnsi="Wingdings" w:hint="default"/>
      </w:rPr>
    </w:lvl>
    <w:lvl w:ilvl="3" w:tplc="7C7E7BC8" w:tentative="1">
      <w:start w:val="1"/>
      <w:numFmt w:val="bullet"/>
      <w:lvlText w:val=""/>
      <w:lvlJc w:val="left"/>
      <w:pPr>
        <w:ind w:left="2880" w:hanging="360"/>
      </w:pPr>
      <w:rPr>
        <w:rFonts w:ascii="Symbol" w:hAnsi="Symbol" w:hint="default"/>
      </w:rPr>
    </w:lvl>
    <w:lvl w:ilvl="4" w:tplc="40822A42" w:tentative="1">
      <w:start w:val="1"/>
      <w:numFmt w:val="bullet"/>
      <w:lvlText w:val="o"/>
      <w:lvlJc w:val="left"/>
      <w:pPr>
        <w:ind w:left="3600" w:hanging="360"/>
      </w:pPr>
      <w:rPr>
        <w:rFonts w:ascii="Courier New" w:hAnsi="Courier New" w:cs="Courier New" w:hint="default"/>
      </w:rPr>
    </w:lvl>
    <w:lvl w:ilvl="5" w:tplc="8C203A1A" w:tentative="1">
      <w:start w:val="1"/>
      <w:numFmt w:val="bullet"/>
      <w:lvlText w:val=""/>
      <w:lvlJc w:val="left"/>
      <w:pPr>
        <w:ind w:left="4320" w:hanging="360"/>
      </w:pPr>
      <w:rPr>
        <w:rFonts w:ascii="Wingdings" w:hAnsi="Wingdings" w:hint="default"/>
      </w:rPr>
    </w:lvl>
    <w:lvl w:ilvl="6" w:tplc="43B02272" w:tentative="1">
      <w:start w:val="1"/>
      <w:numFmt w:val="bullet"/>
      <w:lvlText w:val=""/>
      <w:lvlJc w:val="left"/>
      <w:pPr>
        <w:ind w:left="5040" w:hanging="360"/>
      </w:pPr>
      <w:rPr>
        <w:rFonts w:ascii="Symbol" w:hAnsi="Symbol" w:hint="default"/>
      </w:rPr>
    </w:lvl>
    <w:lvl w:ilvl="7" w:tplc="BDBA3E56" w:tentative="1">
      <w:start w:val="1"/>
      <w:numFmt w:val="bullet"/>
      <w:lvlText w:val="o"/>
      <w:lvlJc w:val="left"/>
      <w:pPr>
        <w:ind w:left="5760" w:hanging="360"/>
      </w:pPr>
      <w:rPr>
        <w:rFonts w:ascii="Courier New" w:hAnsi="Courier New" w:cs="Courier New" w:hint="default"/>
      </w:rPr>
    </w:lvl>
    <w:lvl w:ilvl="8" w:tplc="EC8C6A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D69DF4">
      <w:start w:val="1"/>
      <w:numFmt w:val="bullet"/>
      <w:lvlText w:val=""/>
      <w:lvlJc w:val="left"/>
      <w:pPr>
        <w:ind w:left="720" w:hanging="360"/>
      </w:pPr>
      <w:rPr>
        <w:rFonts w:ascii="Symbol" w:hAnsi="Symbol" w:hint="default"/>
      </w:rPr>
    </w:lvl>
    <w:lvl w:ilvl="1" w:tplc="4398A1D6" w:tentative="1">
      <w:start w:val="1"/>
      <w:numFmt w:val="bullet"/>
      <w:lvlText w:val="o"/>
      <w:lvlJc w:val="left"/>
      <w:pPr>
        <w:ind w:left="1440" w:hanging="360"/>
      </w:pPr>
      <w:rPr>
        <w:rFonts w:ascii="Courier New" w:hAnsi="Courier New" w:cs="Courier New" w:hint="default"/>
      </w:rPr>
    </w:lvl>
    <w:lvl w:ilvl="2" w:tplc="180ABD92" w:tentative="1">
      <w:start w:val="1"/>
      <w:numFmt w:val="bullet"/>
      <w:lvlText w:val=""/>
      <w:lvlJc w:val="left"/>
      <w:pPr>
        <w:ind w:left="2160" w:hanging="360"/>
      </w:pPr>
      <w:rPr>
        <w:rFonts w:ascii="Wingdings" w:hAnsi="Wingdings" w:hint="default"/>
      </w:rPr>
    </w:lvl>
    <w:lvl w:ilvl="3" w:tplc="2ED28EBA" w:tentative="1">
      <w:start w:val="1"/>
      <w:numFmt w:val="bullet"/>
      <w:lvlText w:val=""/>
      <w:lvlJc w:val="left"/>
      <w:pPr>
        <w:ind w:left="2880" w:hanging="360"/>
      </w:pPr>
      <w:rPr>
        <w:rFonts w:ascii="Symbol" w:hAnsi="Symbol" w:hint="default"/>
      </w:rPr>
    </w:lvl>
    <w:lvl w:ilvl="4" w:tplc="F736982A" w:tentative="1">
      <w:start w:val="1"/>
      <w:numFmt w:val="bullet"/>
      <w:lvlText w:val="o"/>
      <w:lvlJc w:val="left"/>
      <w:pPr>
        <w:ind w:left="3600" w:hanging="360"/>
      </w:pPr>
      <w:rPr>
        <w:rFonts w:ascii="Courier New" w:hAnsi="Courier New" w:cs="Courier New" w:hint="default"/>
      </w:rPr>
    </w:lvl>
    <w:lvl w:ilvl="5" w:tplc="0518DBF8" w:tentative="1">
      <w:start w:val="1"/>
      <w:numFmt w:val="bullet"/>
      <w:lvlText w:val=""/>
      <w:lvlJc w:val="left"/>
      <w:pPr>
        <w:ind w:left="4320" w:hanging="360"/>
      </w:pPr>
      <w:rPr>
        <w:rFonts w:ascii="Wingdings" w:hAnsi="Wingdings" w:hint="default"/>
      </w:rPr>
    </w:lvl>
    <w:lvl w:ilvl="6" w:tplc="5F48E554" w:tentative="1">
      <w:start w:val="1"/>
      <w:numFmt w:val="bullet"/>
      <w:lvlText w:val=""/>
      <w:lvlJc w:val="left"/>
      <w:pPr>
        <w:ind w:left="5040" w:hanging="360"/>
      </w:pPr>
      <w:rPr>
        <w:rFonts w:ascii="Symbol" w:hAnsi="Symbol" w:hint="default"/>
      </w:rPr>
    </w:lvl>
    <w:lvl w:ilvl="7" w:tplc="6862EA72" w:tentative="1">
      <w:start w:val="1"/>
      <w:numFmt w:val="bullet"/>
      <w:lvlText w:val="o"/>
      <w:lvlJc w:val="left"/>
      <w:pPr>
        <w:ind w:left="5760" w:hanging="360"/>
      </w:pPr>
      <w:rPr>
        <w:rFonts w:ascii="Courier New" w:hAnsi="Courier New" w:cs="Courier New" w:hint="default"/>
      </w:rPr>
    </w:lvl>
    <w:lvl w:ilvl="8" w:tplc="BA722DFA" w:tentative="1">
      <w:start w:val="1"/>
      <w:numFmt w:val="bullet"/>
      <w:lvlText w:val=""/>
      <w:lvlJc w:val="left"/>
      <w:pPr>
        <w:ind w:left="6480" w:hanging="360"/>
      </w:pPr>
      <w:rPr>
        <w:rFonts w:ascii="Wingdings" w:hAnsi="Wingdings" w:hint="default"/>
      </w:rPr>
    </w:lvl>
  </w:abstractNum>
  <w:abstractNum w:abstractNumId="9" w15:restartNumberingAfterBreak="0">
    <w:nsid w:val="706E7619"/>
    <w:multiLevelType w:val="hybridMultilevel"/>
    <w:tmpl w:val="B240F31A"/>
    <w:lvl w:ilvl="0" w:tplc="287C72B2">
      <w:start w:val="4"/>
      <w:numFmt w:val="bullet"/>
      <w:lvlText w:val="-"/>
      <w:lvlJc w:val="left"/>
      <w:pPr>
        <w:ind w:left="720" w:hanging="360"/>
      </w:pPr>
      <w:rPr>
        <w:rFonts w:ascii="Arial" w:eastAsia="Calibri" w:hAnsi="Arial" w:cs="Arial" w:hint="default"/>
      </w:rPr>
    </w:lvl>
    <w:lvl w:ilvl="1" w:tplc="AF888FEA" w:tentative="1">
      <w:start w:val="1"/>
      <w:numFmt w:val="bullet"/>
      <w:lvlText w:val="o"/>
      <w:lvlJc w:val="left"/>
      <w:pPr>
        <w:ind w:left="1440" w:hanging="360"/>
      </w:pPr>
      <w:rPr>
        <w:rFonts w:ascii="Courier New" w:hAnsi="Courier New" w:cs="Courier New" w:hint="default"/>
      </w:rPr>
    </w:lvl>
    <w:lvl w:ilvl="2" w:tplc="A7561006" w:tentative="1">
      <w:start w:val="1"/>
      <w:numFmt w:val="bullet"/>
      <w:lvlText w:val=""/>
      <w:lvlJc w:val="left"/>
      <w:pPr>
        <w:ind w:left="2160" w:hanging="360"/>
      </w:pPr>
      <w:rPr>
        <w:rFonts w:ascii="Wingdings" w:hAnsi="Wingdings" w:hint="default"/>
      </w:rPr>
    </w:lvl>
    <w:lvl w:ilvl="3" w:tplc="1DC0C0F2" w:tentative="1">
      <w:start w:val="1"/>
      <w:numFmt w:val="bullet"/>
      <w:lvlText w:val=""/>
      <w:lvlJc w:val="left"/>
      <w:pPr>
        <w:ind w:left="2880" w:hanging="360"/>
      </w:pPr>
      <w:rPr>
        <w:rFonts w:ascii="Symbol" w:hAnsi="Symbol" w:hint="default"/>
      </w:rPr>
    </w:lvl>
    <w:lvl w:ilvl="4" w:tplc="7DCCA2E8" w:tentative="1">
      <w:start w:val="1"/>
      <w:numFmt w:val="bullet"/>
      <w:lvlText w:val="o"/>
      <w:lvlJc w:val="left"/>
      <w:pPr>
        <w:ind w:left="3600" w:hanging="360"/>
      </w:pPr>
      <w:rPr>
        <w:rFonts w:ascii="Courier New" w:hAnsi="Courier New" w:cs="Courier New" w:hint="default"/>
      </w:rPr>
    </w:lvl>
    <w:lvl w:ilvl="5" w:tplc="09B001B2" w:tentative="1">
      <w:start w:val="1"/>
      <w:numFmt w:val="bullet"/>
      <w:lvlText w:val=""/>
      <w:lvlJc w:val="left"/>
      <w:pPr>
        <w:ind w:left="4320" w:hanging="360"/>
      </w:pPr>
      <w:rPr>
        <w:rFonts w:ascii="Wingdings" w:hAnsi="Wingdings" w:hint="default"/>
      </w:rPr>
    </w:lvl>
    <w:lvl w:ilvl="6" w:tplc="5E9E51EA" w:tentative="1">
      <w:start w:val="1"/>
      <w:numFmt w:val="bullet"/>
      <w:lvlText w:val=""/>
      <w:lvlJc w:val="left"/>
      <w:pPr>
        <w:ind w:left="5040" w:hanging="360"/>
      </w:pPr>
      <w:rPr>
        <w:rFonts w:ascii="Symbol" w:hAnsi="Symbol" w:hint="default"/>
      </w:rPr>
    </w:lvl>
    <w:lvl w:ilvl="7" w:tplc="F96681F6" w:tentative="1">
      <w:start w:val="1"/>
      <w:numFmt w:val="bullet"/>
      <w:lvlText w:val="o"/>
      <w:lvlJc w:val="left"/>
      <w:pPr>
        <w:ind w:left="5760" w:hanging="360"/>
      </w:pPr>
      <w:rPr>
        <w:rFonts w:ascii="Courier New" w:hAnsi="Courier New" w:cs="Courier New" w:hint="default"/>
      </w:rPr>
    </w:lvl>
    <w:lvl w:ilvl="8" w:tplc="176E5A6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7C3223A8">
      <w:start w:val="1"/>
      <w:numFmt w:val="bullet"/>
      <w:lvlText w:val=""/>
      <w:lvlJc w:val="left"/>
      <w:pPr>
        <w:ind w:left="804" w:hanging="360"/>
      </w:pPr>
      <w:rPr>
        <w:rFonts w:ascii="Symbol" w:hAnsi="Symbol" w:hint="default"/>
      </w:rPr>
    </w:lvl>
    <w:lvl w:ilvl="1" w:tplc="3296FD22" w:tentative="1">
      <w:start w:val="1"/>
      <w:numFmt w:val="bullet"/>
      <w:lvlText w:val="o"/>
      <w:lvlJc w:val="left"/>
      <w:pPr>
        <w:ind w:left="1524" w:hanging="360"/>
      </w:pPr>
      <w:rPr>
        <w:rFonts w:ascii="Courier New" w:hAnsi="Courier New" w:cs="Courier New" w:hint="default"/>
      </w:rPr>
    </w:lvl>
    <w:lvl w:ilvl="2" w:tplc="B1D85370" w:tentative="1">
      <w:start w:val="1"/>
      <w:numFmt w:val="bullet"/>
      <w:lvlText w:val=""/>
      <w:lvlJc w:val="left"/>
      <w:pPr>
        <w:ind w:left="2244" w:hanging="360"/>
      </w:pPr>
      <w:rPr>
        <w:rFonts w:ascii="Wingdings" w:hAnsi="Wingdings" w:hint="default"/>
      </w:rPr>
    </w:lvl>
    <w:lvl w:ilvl="3" w:tplc="4AE6AE0E" w:tentative="1">
      <w:start w:val="1"/>
      <w:numFmt w:val="bullet"/>
      <w:lvlText w:val=""/>
      <w:lvlJc w:val="left"/>
      <w:pPr>
        <w:ind w:left="2964" w:hanging="360"/>
      </w:pPr>
      <w:rPr>
        <w:rFonts w:ascii="Symbol" w:hAnsi="Symbol" w:hint="default"/>
      </w:rPr>
    </w:lvl>
    <w:lvl w:ilvl="4" w:tplc="D7BE4950" w:tentative="1">
      <w:start w:val="1"/>
      <w:numFmt w:val="bullet"/>
      <w:lvlText w:val="o"/>
      <w:lvlJc w:val="left"/>
      <w:pPr>
        <w:ind w:left="3684" w:hanging="360"/>
      </w:pPr>
      <w:rPr>
        <w:rFonts w:ascii="Courier New" w:hAnsi="Courier New" w:cs="Courier New" w:hint="default"/>
      </w:rPr>
    </w:lvl>
    <w:lvl w:ilvl="5" w:tplc="E124A3F0" w:tentative="1">
      <w:start w:val="1"/>
      <w:numFmt w:val="bullet"/>
      <w:lvlText w:val=""/>
      <w:lvlJc w:val="left"/>
      <w:pPr>
        <w:ind w:left="4404" w:hanging="360"/>
      </w:pPr>
      <w:rPr>
        <w:rFonts w:ascii="Wingdings" w:hAnsi="Wingdings" w:hint="default"/>
      </w:rPr>
    </w:lvl>
    <w:lvl w:ilvl="6" w:tplc="B5D8C30E" w:tentative="1">
      <w:start w:val="1"/>
      <w:numFmt w:val="bullet"/>
      <w:lvlText w:val=""/>
      <w:lvlJc w:val="left"/>
      <w:pPr>
        <w:ind w:left="5124" w:hanging="360"/>
      </w:pPr>
      <w:rPr>
        <w:rFonts w:ascii="Symbol" w:hAnsi="Symbol" w:hint="default"/>
      </w:rPr>
    </w:lvl>
    <w:lvl w:ilvl="7" w:tplc="71BCB782" w:tentative="1">
      <w:start w:val="1"/>
      <w:numFmt w:val="bullet"/>
      <w:lvlText w:val="o"/>
      <w:lvlJc w:val="left"/>
      <w:pPr>
        <w:ind w:left="5844" w:hanging="360"/>
      </w:pPr>
      <w:rPr>
        <w:rFonts w:ascii="Courier New" w:hAnsi="Courier New" w:cs="Courier New" w:hint="default"/>
      </w:rPr>
    </w:lvl>
    <w:lvl w:ilvl="8" w:tplc="6EC28FA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4DE6"/>
    <w:rsid w:val="00046F67"/>
    <w:rsid w:val="00051438"/>
    <w:rsid w:val="00052C2D"/>
    <w:rsid w:val="000667F2"/>
    <w:rsid w:val="00067C8C"/>
    <w:rsid w:val="00070CC8"/>
    <w:rsid w:val="00074F21"/>
    <w:rsid w:val="0007583C"/>
    <w:rsid w:val="00076F48"/>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5BE5"/>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233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6BC"/>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0A4"/>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1D34"/>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27FD7"/>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0E46"/>
    <w:rsid w:val="00CB7C80"/>
    <w:rsid w:val="00CC62FC"/>
    <w:rsid w:val="00CD1907"/>
    <w:rsid w:val="00CE38D6"/>
    <w:rsid w:val="00CE58FC"/>
    <w:rsid w:val="00CE7E57"/>
    <w:rsid w:val="00CF2F6F"/>
    <w:rsid w:val="00CF74E4"/>
    <w:rsid w:val="00CF7675"/>
    <w:rsid w:val="00D03C2E"/>
    <w:rsid w:val="00D1697F"/>
    <w:rsid w:val="00D2348F"/>
    <w:rsid w:val="00D236C4"/>
    <w:rsid w:val="00D25DF2"/>
    <w:rsid w:val="00D436CA"/>
    <w:rsid w:val="00D61B9F"/>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7325"/>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250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FD74-437D-4290-97C6-998B45CD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7096</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2020-11-19T13:20:00Z</dcterms:created>
  <dcterms:modified xsi:type="dcterms:W3CDTF">2020-11-19T13:20:00Z</dcterms:modified>
</cp:coreProperties>
</file>