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
        <w:gridCol w:w="1329"/>
        <w:gridCol w:w="709"/>
        <w:gridCol w:w="1701"/>
      </w:tblGrid>
      <w:tr w:rsidR="00161F20" w14:paraId="3E1B57AA" w14:textId="77777777" w:rsidTr="006E3BBC">
        <w:tc>
          <w:tcPr>
            <w:tcW w:w="1843" w:type="dxa"/>
            <w:gridSpan w:val="2"/>
            <w:tcBorders>
              <w:bottom w:val="single" w:sz="4" w:space="0" w:color="auto"/>
            </w:tcBorders>
          </w:tcPr>
          <w:p w14:paraId="61AB2DCD" w14:textId="77777777" w:rsidR="00814E16" w:rsidRPr="00471A1C" w:rsidRDefault="00000000" w:rsidP="006E3BBC">
            <w:pPr>
              <w:rPr>
                <w:rFonts w:cs="Arial"/>
                <w:sz w:val="22"/>
                <w:szCs w:val="22"/>
              </w:rPr>
            </w:pPr>
            <w:r w:rsidRPr="00471A1C">
              <w:rPr>
                <w:rFonts w:cs="Arial"/>
                <w:sz w:val="22"/>
                <w:szCs w:val="22"/>
              </w:rPr>
              <w:t xml:space="preserve">11.03.2024.  </w:t>
            </w:r>
          </w:p>
        </w:tc>
        <w:tc>
          <w:tcPr>
            <w:tcW w:w="709" w:type="dxa"/>
          </w:tcPr>
          <w:p w14:paraId="7F08F858" w14:textId="77777777" w:rsidR="00814E16" w:rsidRPr="00471A1C" w:rsidRDefault="00000000" w:rsidP="006E3BBC">
            <w:pPr>
              <w:rPr>
                <w:rFonts w:cs="Arial"/>
                <w:sz w:val="22"/>
                <w:szCs w:val="22"/>
              </w:rPr>
            </w:pPr>
            <w:r w:rsidRPr="00471A1C">
              <w:rPr>
                <w:rFonts w:cs="Arial"/>
                <w:sz w:val="22"/>
                <w:szCs w:val="22"/>
              </w:rPr>
              <w:t>Nr.</w:t>
            </w:r>
          </w:p>
        </w:tc>
        <w:tc>
          <w:tcPr>
            <w:tcW w:w="1701" w:type="dxa"/>
            <w:tcBorders>
              <w:bottom w:val="single" w:sz="4" w:space="0" w:color="auto"/>
            </w:tcBorders>
          </w:tcPr>
          <w:p w14:paraId="162C573C" w14:textId="77777777" w:rsidR="00814E16" w:rsidRPr="00471A1C" w:rsidRDefault="00000000" w:rsidP="006E3BBC">
            <w:pPr>
              <w:rPr>
                <w:rFonts w:cs="Arial"/>
                <w:sz w:val="22"/>
                <w:szCs w:val="22"/>
              </w:rPr>
            </w:pPr>
            <w:r w:rsidRPr="00471A1C">
              <w:rPr>
                <w:rFonts w:cs="Arial"/>
                <w:sz w:val="22"/>
                <w:szCs w:val="22"/>
              </w:rPr>
              <w:t>503/2.5.5</w:t>
            </w:r>
          </w:p>
        </w:tc>
      </w:tr>
      <w:tr w:rsidR="00161F20" w14:paraId="02F0BF35" w14:textId="77777777" w:rsidTr="006E3BBC">
        <w:tc>
          <w:tcPr>
            <w:tcW w:w="514" w:type="dxa"/>
            <w:tcBorders>
              <w:top w:val="single" w:sz="4" w:space="0" w:color="auto"/>
            </w:tcBorders>
          </w:tcPr>
          <w:p w14:paraId="39FED772" w14:textId="77777777" w:rsidR="00814E16" w:rsidRPr="00471A1C" w:rsidRDefault="00000000" w:rsidP="006E3BBC">
            <w:pPr>
              <w:rPr>
                <w:rFonts w:cs="Arial"/>
                <w:sz w:val="22"/>
                <w:szCs w:val="22"/>
              </w:rPr>
            </w:pPr>
            <w:r w:rsidRPr="00471A1C">
              <w:rPr>
                <w:rFonts w:cs="Arial"/>
                <w:sz w:val="22"/>
                <w:szCs w:val="22"/>
              </w:rPr>
              <w:t>Uz</w:t>
            </w:r>
          </w:p>
        </w:tc>
        <w:tc>
          <w:tcPr>
            <w:tcW w:w="1329" w:type="dxa"/>
            <w:tcBorders>
              <w:top w:val="single" w:sz="4" w:space="0" w:color="auto"/>
              <w:bottom w:val="single" w:sz="4" w:space="0" w:color="auto"/>
            </w:tcBorders>
          </w:tcPr>
          <w:p w14:paraId="009BFD38" w14:textId="77777777" w:rsidR="00814E16" w:rsidRPr="00471A1C" w:rsidRDefault="00814E16" w:rsidP="006E3BBC">
            <w:pPr>
              <w:rPr>
                <w:rFonts w:cs="Arial"/>
                <w:sz w:val="22"/>
                <w:szCs w:val="22"/>
              </w:rPr>
            </w:pPr>
          </w:p>
        </w:tc>
        <w:tc>
          <w:tcPr>
            <w:tcW w:w="709" w:type="dxa"/>
          </w:tcPr>
          <w:p w14:paraId="7B4E07C9" w14:textId="77777777" w:rsidR="00814E16" w:rsidRPr="00471A1C" w:rsidRDefault="00000000" w:rsidP="006E3BBC">
            <w:pPr>
              <w:rPr>
                <w:rFonts w:cs="Arial"/>
                <w:sz w:val="22"/>
                <w:szCs w:val="22"/>
              </w:rPr>
            </w:pPr>
            <w:r w:rsidRPr="00471A1C">
              <w:rPr>
                <w:rFonts w:cs="Arial"/>
                <w:sz w:val="22"/>
                <w:szCs w:val="22"/>
              </w:rPr>
              <w:t>Nr.</w:t>
            </w:r>
          </w:p>
        </w:tc>
        <w:tc>
          <w:tcPr>
            <w:tcW w:w="1701" w:type="dxa"/>
            <w:tcBorders>
              <w:top w:val="single" w:sz="4" w:space="0" w:color="auto"/>
              <w:bottom w:val="single" w:sz="4" w:space="0" w:color="auto"/>
            </w:tcBorders>
          </w:tcPr>
          <w:p w14:paraId="7B8D9DEE" w14:textId="77777777" w:rsidR="00814E16" w:rsidRPr="00471A1C" w:rsidRDefault="00814E16" w:rsidP="006E3BBC">
            <w:pPr>
              <w:rPr>
                <w:rFonts w:cs="Arial"/>
                <w:sz w:val="22"/>
                <w:szCs w:val="22"/>
              </w:rPr>
            </w:pPr>
          </w:p>
        </w:tc>
      </w:tr>
    </w:tbl>
    <w:p w14:paraId="68E3FE96" w14:textId="77777777" w:rsidR="000719D1" w:rsidRDefault="000719D1" w:rsidP="000719D1">
      <w:pPr>
        <w:widowControl w:val="0"/>
        <w:autoSpaceDE w:val="0"/>
        <w:autoSpaceDN w:val="0"/>
        <w:adjustRightInd w:val="0"/>
        <w:jc w:val="right"/>
        <w:rPr>
          <w:rFonts w:cs="Arial"/>
          <w:b/>
          <w:bCs/>
          <w:sz w:val="22"/>
          <w:szCs w:val="22"/>
        </w:rPr>
      </w:pPr>
    </w:p>
    <w:tbl>
      <w:tblPr>
        <w:tblStyle w:val="Reatabula"/>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161F20" w14:paraId="1CE0B9D0" w14:textId="77777777" w:rsidTr="00A22994">
        <w:tc>
          <w:tcPr>
            <w:tcW w:w="3811" w:type="dxa"/>
          </w:tcPr>
          <w:p w14:paraId="0DAAB264" w14:textId="77777777" w:rsidR="00712C00" w:rsidRPr="0032089D" w:rsidRDefault="00000000" w:rsidP="002304C3">
            <w:pPr>
              <w:jc w:val="right"/>
              <w:rPr>
                <w:rFonts w:cs="Arial"/>
                <w:b/>
                <w:sz w:val="22"/>
                <w:szCs w:val="22"/>
              </w:rPr>
            </w:pPr>
            <w:r w:rsidRPr="0032089D">
              <w:rPr>
                <w:rFonts w:cs="Arial"/>
                <w:b/>
                <w:sz w:val="22"/>
                <w:szCs w:val="22"/>
              </w:rPr>
              <w:t>Valsts Kase</w:t>
            </w:r>
            <w:r w:rsidRPr="0032089D">
              <w:rPr>
                <w:rFonts w:cs="Arial"/>
                <w:b/>
                <w:sz w:val="22"/>
                <w:szCs w:val="22"/>
              </w:rPr>
              <w:br/>
              <w:t>Smilšu iela 1</w:t>
            </w:r>
            <w:r w:rsidRPr="0032089D">
              <w:rPr>
                <w:rFonts w:cs="Arial"/>
                <w:b/>
                <w:sz w:val="22"/>
                <w:szCs w:val="22"/>
              </w:rPr>
              <w:br/>
              <w:t>Rīga, LV-1050</w:t>
            </w:r>
          </w:p>
          <w:p w14:paraId="688A4E0A" w14:textId="77777777" w:rsidR="00712C00" w:rsidRDefault="00712C00" w:rsidP="00A22994">
            <w:pPr>
              <w:widowControl w:val="0"/>
              <w:autoSpaceDE w:val="0"/>
              <w:autoSpaceDN w:val="0"/>
              <w:adjustRightInd w:val="0"/>
              <w:ind w:left="4287"/>
              <w:jc w:val="center"/>
              <w:rPr>
                <w:rFonts w:cs="Arial"/>
                <w:sz w:val="22"/>
                <w:szCs w:val="22"/>
              </w:rPr>
            </w:pPr>
          </w:p>
        </w:tc>
      </w:tr>
      <w:tr w:rsidR="00161F20" w14:paraId="1E06BCCB" w14:textId="77777777" w:rsidTr="00A22994">
        <w:tc>
          <w:tcPr>
            <w:tcW w:w="3811" w:type="dxa"/>
          </w:tcPr>
          <w:p w14:paraId="744534C7" w14:textId="77777777" w:rsidR="00712C00" w:rsidRPr="0032089D" w:rsidRDefault="00712C00" w:rsidP="00A22994">
            <w:pPr>
              <w:rPr>
                <w:rFonts w:cs="Arial"/>
                <w:b/>
                <w:sz w:val="22"/>
                <w:szCs w:val="22"/>
              </w:rPr>
            </w:pPr>
          </w:p>
        </w:tc>
      </w:tr>
      <w:tr w:rsidR="00161F20" w14:paraId="30B43847" w14:textId="77777777" w:rsidTr="00A22994">
        <w:tc>
          <w:tcPr>
            <w:tcW w:w="3811" w:type="dxa"/>
          </w:tcPr>
          <w:p w14:paraId="03856D06" w14:textId="77777777" w:rsidR="00712C00" w:rsidRPr="0032089D" w:rsidRDefault="00712C00" w:rsidP="00A22994">
            <w:pPr>
              <w:rPr>
                <w:rFonts w:cs="Arial"/>
                <w:b/>
                <w:sz w:val="22"/>
                <w:szCs w:val="22"/>
              </w:rPr>
            </w:pPr>
          </w:p>
        </w:tc>
      </w:tr>
    </w:tbl>
    <w:p w14:paraId="0CDFBF02" w14:textId="77777777" w:rsidR="000719D1" w:rsidRDefault="000719D1" w:rsidP="00607627">
      <w:pPr>
        <w:widowControl w:val="0"/>
        <w:autoSpaceDE w:val="0"/>
        <w:autoSpaceDN w:val="0"/>
        <w:adjustRightInd w:val="0"/>
        <w:jc w:val="center"/>
        <w:rPr>
          <w:rFonts w:cs="Arial"/>
          <w:sz w:val="22"/>
          <w:szCs w:val="22"/>
        </w:rPr>
      </w:pPr>
    </w:p>
    <w:p w14:paraId="7EAF6094" w14:textId="77777777" w:rsidR="00814E16" w:rsidRPr="002304C3" w:rsidRDefault="00000000" w:rsidP="00814E16">
      <w:pPr>
        <w:widowControl w:val="0"/>
        <w:autoSpaceDE w:val="0"/>
        <w:autoSpaceDN w:val="0"/>
        <w:adjustRightInd w:val="0"/>
        <w:jc w:val="both"/>
        <w:rPr>
          <w:rFonts w:cs="Arial"/>
          <w:b/>
          <w:bCs/>
          <w:szCs w:val="20"/>
        </w:rPr>
      </w:pPr>
      <w:r w:rsidRPr="002304C3">
        <w:rPr>
          <w:rFonts w:cs="Arial"/>
          <w:b/>
          <w:bCs/>
          <w:szCs w:val="20"/>
        </w:rPr>
        <w:t>LIEPĀJAS VALSTSPILSĒTAS PAŠVALDĪBAS FINANŠU INSTRUMENTU RISKU PĀRVALDĪŠANAS APRAKSTS</w:t>
      </w:r>
    </w:p>
    <w:p w14:paraId="2918F817" w14:textId="77777777" w:rsidR="00607627" w:rsidRDefault="00607627" w:rsidP="002304C3">
      <w:pPr>
        <w:widowControl w:val="0"/>
        <w:autoSpaceDE w:val="0"/>
        <w:autoSpaceDN w:val="0"/>
        <w:adjustRightInd w:val="0"/>
        <w:rPr>
          <w:rFonts w:cs="Arial"/>
          <w:sz w:val="22"/>
          <w:szCs w:val="22"/>
        </w:rPr>
      </w:pPr>
    </w:p>
    <w:p w14:paraId="3DF25A9B" w14:textId="77777777" w:rsidR="002304C3" w:rsidRPr="001C1974" w:rsidRDefault="00000000" w:rsidP="002304C3">
      <w:pPr>
        <w:ind w:firstLine="720"/>
        <w:jc w:val="both"/>
        <w:rPr>
          <w:rFonts w:eastAsia="Calibri"/>
          <w:sz w:val="22"/>
          <w:szCs w:val="22"/>
        </w:rPr>
      </w:pPr>
      <w:r w:rsidRPr="001C1974">
        <w:rPr>
          <w:rFonts w:eastAsia="Calibri"/>
          <w:sz w:val="22"/>
          <w:szCs w:val="22"/>
        </w:rPr>
        <w:t xml:space="preserve">Pašvaldības nozīmīgākais finanšu instruments ir nauda. Šī finanšu instrumenta galvenais uzdevums ir nodrošināt pašvaldībai noteikto autonomo funkciju izpildi. Pašvaldība ir vairāki finanšu instrumenti: </w:t>
      </w:r>
    </w:p>
    <w:p w14:paraId="158AB464" w14:textId="77777777" w:rsidR="002304C3" w:rsidRPr="001C1974" w:rsidRDefault="00000000" w:rsidP="002304C3">
      <w:pPr>
        <w:pStyle w:val="Sarakstarindkopa"/>
        <w:numPr>
          <w:ilvl w:val="0"/>
          <w:numId w:val="13"/>
        </w:numPr>
        <w:spacing w:after="160" w:line="259" w:lineRule="auto"/>
        <w:jc w:val="both"/>
        <w:rPr>
          <w:rFonts w:cs="Arial"/>
          <w:sz w:val="22"/>
          <w:szCs w:val="22"/>
        </w:rPr>
      </w:pPr>
      <w:r w:rsidRPr="001C1974">
        <w:rPr>
          <w:rFonts w:cs="Arial"/>
          <w:sz w:val="22"/>
          <w:szCs w:val="22"/>
        </w:rPr>
        <w:t>ilgtermiņa un īstermiņa aizņēmumi;</w:t>
      </w:r>
    </w:p>
    <w:p w14:paraId="05373021" w14:textId="77777777" w:rsidR="002304C3" w:rsidRPr="001C1974" w:rsidRDefault="00000000" w:rsidP="002304C3">
      <w:pPr>
        <w:pStyle w:val="Sarakstarindkopa"/>
        <w:numPr>
          <w:ilvl w:val="0"/>
          <w:numId w:val="13"/>
        </w:numPr>
        <w:spacing w:after="160" w:line="259" w:lineRule="auto"/>
        <w:jc w:val="both"/>
        <w:rPr>
          <w:rFonts w:cs="Arial"/>
          <w:sz w:val="22"/>
          <w:szCs w:val="22"/>
        </w:rPr>
      </w:pPr>
      <w:r w:rsidRPr="001C1974">
        <w:rPr>
          <w:rFonts w:cs="Arial"/>
          <w:sz w:val="22"/>
          <w:szCs w:val="22"/>
        </w:rPr>
        <w:t>līdzdalība kapitālsabiedrībā, kurā pašvaldības ieguldījums ir līdz 20% no balsstiesībām;</w:t>
      </w:r>
    </w:p>
    <w:p w14:paraId="313E26A0" w14:textId="77777777" w:rsidR="002304C3" w:rsidRPr="001C1974" w:rsidRDefault="00000000" w:rsidP="002304C3">
      <w:pPr>
        <w:pStyle w:val="Sarakstarindkopa"/>
        <w:numPr>
          <w:ilvl w:val="0"/>
          <w:numId w:val="13"/>
        </w:numPr>
        <w:spacing w:after="160" w:line="259" w:lineRule="auto"/>
        <w:jc w:val="both"/>
        <w:rPr>
          <w:rFonts w:cs="Arial"/>
          <w:sz w:val="22"/>
          <w:szCs w:val="22"/>
        </w:rPr>
      </w:pPr>
      <w:r w:rsidRPr="001C1974">
        <w:rPr>
          <w:rFonts w:eastAsia="Calibri" w:cs="Arial"/>
          <w:sz w:val="22"/>
          <w:szCs w:val="22"/>
        </w:rPr>
        <w:t>nekustamā īpašuma nodokļa maksātāju parādi un citi debitoru parādi,</w:t>
      </w:r>
    </w:p>
    <w:p w14:paraId="385C8A4A" w14:textId="77777777" w:rsidR="002304C3" w:rsidRPr="001C1974" w:rsidRDefault="00000000" w:rsidP="002304C3">
      <w:pPr>
        <w:pStyle w:val="Sarakstarindkopa"/>
        <w:numPr>
          <w:ilvl w:val="0"/>
          <w:numId w:val="13"/>
        </w:numPr>
        <w:spacing w:after="160" w:line="259" w:lineRule="auto"/>
        <w:jc w:val="both"/>
        <w:rPr>
          <w:rFonts w:cs="Arial"/>
          <w:sz w:val="22"/>
          <w:szCs w:val="22"/>
        </w:rPr>
      </w:pPr>
      <w:r w:rsidRPr="001C1974">
        <w:rPr>
          <w:rFonts w:eastAsia="Calibri" w:cs="Arial"/>
          <w:sz w:val="22"/>
          <w:szCs w:val="22"/>
        </w:rPr>
        <w:t>pašvaldības parādi pakalpojumu sniedzējiem un citiem kreditoriem, kas izriet no pašvaldības darbības nodrošināšanai u.c.</w:t>
      </w:r>
    </w:p>
    <w:p w14:paraId="5131FB45" w14:textId="77777777" w:rsidR="002304C3" w:rsidRPr="001C1974" w:rsidRDefault="00000000" w:rsidP="002304C3">
      <w:pPr>
        <w:ind w:firstLine="720"/>
        <w:jc w:val="both"/>
        <w:rPr>
          <w:rFonts w:eastAsia="Calibri" w:cs="Arial"/>
          <w:sz w:val="22"/>
          <w:szCs w:val="22"/>
        </w:rPr>
      </w:pPr>
      <w:r w:rsidRPr="001C1974">
        <w:rPr>
          <w:rFonts w:eastAsia="Calibri" w:cs="Arial"/>
          <w:sz w:val="22"/>
          <w:szCs w:val="22"/>
        </w:rPr>
        <w:t>Galvenie finanšu riski, kas saistīti ar pašvaldības saimniecisko darbību, ir likviditātes risks, ka pašvaldība noteiktajos termiņos nespēs pilnā apmērā segt savas uzņemtās saistības, un kredītrisks,</w:t>
      </w:r>
      <w:r>
        <w:rPr>
          <w:rFonts w:eastAsia="Calibri" w:cs="Arial"/>
          <w:sz w:val="22"/>
          <w:szCs w:val="22"/>
        </w:rPr>
        <w:t xml:space="preserve"> </w:t>
      </w:r>
      <w:r w:rsidRPr="001C1974">
        <w:rPr>
          <w:rFonts w:eastAsia="Calibri" w:cs="Arial"/>
          <w:sz w:val="22"/>
          <w:szCs w:val="22"/>
        </w:rPr>
        <w:t>ka darījuma partneris nespēs vai atteiksies pildīt savl</w:t>
      </w:r>
      <w:r>
        <w:rPr>
          <w:rFonts w:eastAsia="Calibri" w:cs="Arial"/>
          <w:sz w:val="22"/>
          <w:szCs w:val="22"/>
        </w:rPr>
        <w:t>a</w:t>
      </w:r>
      <w:r w:rsidRPr="001C1974">
        <w:rPr>
          <w:rFonts w:eastAsia="Calibri" w:cs="Arial"/>
          <w:sz w:val="22"/>
          <w:szCs w:val="22"/>
        </w:rPr>
        <w:t>icīgi un pilnā apjomā uzņemtās sa</w:t>
      </w:r>
      <w:r>
        <w:rPr>
          <w:rFonts w:eastAsia="Calibri" w:cs="Arial"/>
          <w:sz w:val="22"/>
          <w:szCs w:val="22"/>
        </w:rPr>
        <w:t>i</w:t>
      </w:r>
      <w:r w:rsidRPr="001C1974">
        <w:rPr>
          <w:rFonts w:eastAsia="Calibri" w:cs="Arial"/>
          <w:sz w:val="22"/>
          <w:szCs w:val="22"/>
        </w:rPr>
        <w:t>stības pret pašvaldību.</w:t>
      </w:r>
    </w:p>
    <w:p w14:paraId="05815D5D" w14:textId="77777777" w:rsidR="002304C3" w:rsidRPr="001C1974" w:rsidRDefault="00000000" w:rsidP="002304C3">
      <w:pPr>
        <w:ind w:firstLine="720"/>
        <w:jc w:val="both"/>
        <w:rPr>
          <w:rFonts w:eastAsia="Calibri" w:cs="Arial"/>
          <w:sz w:val="22"/>
          <w:szCs w:val="22"/>
        </w:rPr>
      </w:pPr>
      <w:r w:rsidRPr="001C1974">
        <w:rPr>
          <w:rFonts w:eastAsia="Calibri" w:cs="Arial"/>
          <w:sz w:val="22"/>
          <w:szCs w:val="22"/>
        </w:rPr>
        <w:t>Likviditātes un likviditātes risku pārvaldīšanā pašvaldība ievēro šādus pamatprincipus un metodes:</w:t>
      </w:r>
    </w:p>
    <w:p w14:paraId="4EE75D59" w14:textId="77777777" w:rsidR="002304C3" w:rsidRPr="001C1974" w:rsidRDefault="00000000" w:rsidP="002304C3">
      <w:pPr>
        <w:pStyle w:val="Sarakstarindkopa"/>
        <w:numPr>
          <w:ilvl w:val="0"/>
          <w:numId w:val="15"/>
        </w:numPr>
        <w:overflowPunct w:val="0"/>
        <w:autoSpaceDE w:val="0"/>
        <w:autoSpaceDN w:val="0"/>
        <w:adjustRightInd w:val="0"/>
        <w:ind w:left="426" w:hanging="426"/>
        <w:jc w:val="both"/>
        <w:textAlignment w:val="baseline"/>
        <w:rPr>
          <w:rFonts w:cs="Arial"/>
          <w:sz w:val="22"/>
          <w:szCs w:val="22"/>
        </w:rPr>
      </w:pPr>
      <w:r w:rsidRPr="001C1974">
        <w:rPr>
          <w:rFonts w:cs="Arial"/>
          <w:sz w:val="22"/>
          <w:szCs w:val="22"/>
        </w:rPr>
        <w:t>Pieņemot lēmumus, pašvaldības deputāti un administrācija vadās pēc piesardzības principa, dodot priekšroku likviditātei, nevis riskam;</w:t>
      </w:r>
    </w:p>
    <w:p w14:paraId="1CF511C0" w14:textId="77777777" w:rsidR="002304C3" w:rsidRPr="001C1974" w:rsidRDefault="00000000" w:rsidP="002304C3">
      <w:pPr>
        <w:pStyle w:val="Sarakstarindkopa"/>
        <w:numPr>
          <w:ilvl w:val="0"/>
          <w:numId w:val="15"/>
        </w:numPr>
        <w:overflowPunct w:val="0"/>
        <w:autoSpaceDE w:val="0"/>
        <w:autoSpaceDN w:val="0"/>
        <w:adjustRightInd w:val="0"/>
        <w:ind w:left="426" w:hanging="426"/>
        <w:jc w:val="both"/>
        <w:textAlignment w:val="baseline"/>
        <w:rPr>
          <w:rFonts w:cs="Arial"/>
          <w:sz w:val="22"/>
          <w:szCs w:val="22"/>
        </w:rPr>
      </w:pPr>
      <w:r w:rsidRPr="001C1974">
        <w:rPr>
          <w:rFonts w:cs="Arial"/>
          <w:sz w:val="22"/>
          <w:szCs w:val="22"/>
        </w:rPr>
        <w:t>Tiek izmantota naudas plūsmas prognozēšanas metode:</w:t>
      </w:r>
    </w:p>
    <w:p w14:paraId="00B6B43E" w14:textId="77777777" w:rsidR="002304C3" w:rsidRPr="001C1974" w:rsidRDefault="00000000" w:rsidP="002304C3">
      <w:pPr>
        <w:pStyle w:val="Sarakstarindkopa"/>
        <w:numPr>
          <w:ilvl w:val="1"/>
          <w:numId w:val="15"/>
        </w:numPr>
        <w:overflowPunct w:val="0"/>
        <w:autoSpaceDE w:val="0"/>
        <w:autoSpaceDN w:val="0"/>
        <w:adjustRightInd w:val="0"/>
        <w:ind w:left="709" w:hanging="142"/>
        <w:jc w:val="both"/>
        <w:textAlignment w:val="baseline"/>
        <w:rPr>
          <w:rFonts w:cs="Arial"/>
          <w:sz w:val="22"/>
          <w:szCs w:val="22"/>
        </w:rPr>
      </w:pPr>
      <w:r w:rsidRPr="001C1974">
        <w:rPr>
          <w:rFonts w:cs="Arial"/>
          <w:sz w:val="22"/>
          <w:szCs w:val="22"/>
        </w:rPr>
        <w:t>Plānojot pašvaldības budžeta ieņēmumus un izdevumus tiek ņemtas vērā valsts noteiktās makroekonomiskās prognozes, kā arī normatīvajos dokumentos noteiktos pašvaldības ieņēmumu daļas posteņu prognozes;</w:t>
      </w:r>
    </w:p>
    <w:p w14:paraId="7C2D588E" w14:textId="77777777" w:rsidR="002304C3" w:rsidRPr="001C1974" w:rsidRDefault="00000000" w:rsidP="002304C3">
      <w:pPr>
        <w:pStyle w:val="Sarakstarindkopa"/>
        <w:numPr>
          <w:ilvl w:val="1"/>
          <w:numId w:val="15"/>
        </w:numPr>
        <w:overflowPunct w:val="0"/>
        <w:autoSpaceDE w:val="0"/>
        <w:autoSpaceDN w:val="0"/>
        <w:adjustRightInd w:val="0"/>
        <w:ind w:left="709" w:hanging="142"/>
        <w:jc w:val="both"/>
        <w:textAlignment w:val="baseline"/>
        <w:rPr>
          <w:rFonts w:cs="Arial"/>
          <w:sz w:val="22"/>
          <w:szCs w:val="22"/>
        </w:rPr>
      </w:pPr>
      <w:r w:rsidRPr="001C1974">
        <w:rPr>
          <w:rFonts w:cs="Arial"/>
          <w:sz w:val="22"/>
          <w:szCs w:val="22"/>
        </w:rPr>
        <w:t xml:space="preserve">Pašvaldības izdevumu plānošanā tiek izmantota nulles budžeta plānošanas metode. Budžets tiek plānots stingrā sasaistē ar pašvaldības attīstības dokumentiem pašvaldības institūciju, programmu un aktivitāšu griezumā, ņemot vērā iepriekšējo gadu budžeta izpildi, plānotos inflācijas koeficientus un jaunās politiskās iniciatīvas, atsevišķi tiek plānots Investīciju un attīstības budžets, kas nodrošina detalizētāku uzskaiti; </w:t>
      </w:r>
    </w:p>
    <w:p w14:paraId="72AB3BF7" w14:textId="77777777" w:rsidR="002304C3" w:rsidRPr="001C1974" w:rsidRDefault="00000000" w:rsidP="002304C3">
      <w:pPr>
        <w:pStyle w:val="Sarakstarindkopa"/>
        <w:numPr>
          <w:ilvl w:val="1"/>
          <w:numId w:val="15"/>
        </w:numPr>
        <w:overflowPunct w:val="0"/>
        <w:autoSpaceDE w:val="0"/>
        <w:autoSpaceDN w:val="0"/>
        <w:adjustRightInd w:val="0"/>
        <w:ind w:left="709" w:hanging="142"/>
        <w:jc w:val="both"/>
        <w:textAlignment w:val="baseline"/>
        <w:rPr>
          <w:rFonts w:cs="Arial"/>
          <w:sz w:val="22"/>
          <w:szCs w:val="22"/>
        </w:rPr>
      </w:pPr>
      <w:r w:rsidRPr="001C1974">
        <w:rPr>
          <w:rFonts w:cs="Arial"/>
          <w:sz w:val="22"/>
          <w:szCs w:val="22"/>
        </w:rPr>
        <w:t>Pašvaldības budžeta sabalansēšanas procesā tiek prognozēts finanšu atlikums uz saimnieciskā gada sākumu, kā arī izvērtēti plānotie projekti nākamiem periodiem, un nepieciešamības gadījumā rūpīgi tiek izvērtēta aizņemto līdzekļu piesaiste akt</w:t>
      </w:r>
      <w:r>
        <w:rPr>
          <w:rFonts w:cs="Arial"/>
          <w:sz w:val="22"/>
          <w:szCs w:val="22"/>
        </w:rPr>
        <w:t>i</w:t>
      </w:r>
      <w:r w:rsidRPr="001C1974">
        <w:rPr>
          <w:rFonts w:cs="Arial"/>
          <w:sz w:val="22"/>
          <w:szCs w:val="22"/>
        </w:rPr>
        <w:t>vitātes īstenošanai nepieciešamības gadījumā;</w:t>
      </w:r>
    </w:p>
    <w:p w14:paraId="2E286C31" w14:textId="77777777" w:rsidR="002304C3" w:rsidRPr="001C1974" w:rsidRDefault="00000000" w:rsidP="002304C3">
      <w:pPr>
        <w:pStyle w:val="Sarakstarindkopa"/>
        <w:numPr>
          <w:ilvl w:val="0"/>
          <w:numId w:val="15"/>
        </w:numPr>
        <w:overflowPunct w:val="0"/>
        <w:autoSpaceDE w:val="0"/>
        <w:autoSpaceDN w:val="0"/>
        <w:adjustRightInd w:val="0"/>
        <w:ind w:left="426"/>
        <w:jc w:val="both"/>
        <w:textAlignment w:val="baseline"/>
        <w:rPr>
          <w:rFonts w:cs="Arial"/>
          <w:sz w:val="22"/>
          <w:szCs w:val="22"/>
        </w:rPr>
      </w:pPr>
      <w:r w:rsidRPr="001C1974">
        <w:rPr>
          <w:rFonts w:cs="Arial"/>
          <w:sz w:val="22"/>
          <w:szCs w:val="22"/>
        </w:rPr>
        <w:lastRenderedPageBreak/>
        <w:t>Pašvaldībā periodiski, pēc nepieciešamības, bet ne retāk kā reizi mēnesī, tiek veikta budžeta ieņēmumu un izdevumu daļas analīze, nepieciešamības gadījumā atsevišķu budžeta posteņu detalizēta analīze;</w:t>
      </w:r>
    </w:p>
    <w:p w14:paraId="5FCB5835" w14:textId="77777777" w:rsidR="002304C3" w:rsidRPr="001C1974" w:rsidRDefault="00000000" w:rsidP="002304C3">
      <w:pPr>
        <w:pStyle w:val="Sarakstarindkopa"/>
        <w:numPr>
          <w:ilvl w:val="0"/>
          <w:numId w:val="15"/>
        </w:numPr>
        <w:overflowPunct w:val="0"/>
        <w:autoSpaceDE w:val="0"/>
        <w:autoSpaceDN w:val="0"/>
        <w:adjustRightInd w:val="0"/>
        <w:ind w:left="426"/>
        <w:jc w:val="both"/>
        <w:textAlignment w:val="baseline"/>
        <w:rPr>
          <w:rFonts w:cs="Arial"/>
          <w:sz w:val="22"/>
          <w:szCs w:val="22"/>
        </w:rPr>
      </w:pPr>
      <w:r w:rsidRPr="001C1974">
        <w:rPr>
          <w:rFonts w:cs="Arial"/>
          <w:sz w:val="22"/>
          <w:szCs w:val="22"/>
        </w:rPr>
        <w:t xml:space="preserve">Pašvaldībā atbildīgā persona </w:t>
      </w:r>
      <w:r w:rsidRPr="00270CF4">
        <w:rPr>
          <w:rFonts w:cs="Arial"/>
          <w:sz w:val="22"/>
          <w:szCs w:val="22"/>
        </w:rPr>
        <w:t>Norēķinu</w:t>
      </w:r>
      <w:r w:rsidRPr="001C1974">
        <w:rPr>
          <w:rFonts w:cs="Arial"/>
          <w:sz w:val="22"/>
          <w:szCs w:val="22"/>
        </w:rPr>
        <w:t xml:space="preserve"> kasē seko līdzi pašvaldības konta atlikumam, iestāžu kontu atlikumiem, kā arī īpašiem mērķiem noteiktu ieņēmumu atlikumiem, kā arī veiktajiem maksājumiem;</w:t>
      </w:r>
    </w:p>
    <w:p w14:paraId="1703E33D" w14:textId="77777777" w:rsidR="002304C3" w:rsidRPr="001C1974" w:rsidRDefault="00000000" w:rsidP="002304C3">
      <w:pPr>
        <w:pStyle w:val="Sarakstarindkopa"/>
        <w:numPr>
          <w:ilvl w:val="0"/>
          <w:numId w:val="15"/>
        </w:numPr>
        <w:overflowPunct w:val="0"/>
        <w:autoSpaceDE w:val="0"/>
        <w:autoSpaceDN w:val="0"/>
        <w:adjustRightInd w:val="0"/>
        <w:ind w:left="426"/>
        <w:jc w:val="both"/>
        <w:textAlignment w:val="baseline"/>
        <w:rPr>
          <w:rFonts w:cs="Arial"/>
          <w:sz w:val="22"/>
          <w:szCs w:val="22"/>
        </w:rPr>
      </w:pPr>
      <w:r w:rsidRPr="001C1974">
        <w:rPr>
          <w:rFonts w:cs="Arial"/>
          <w:sz w:val="22"/>
          <w:szCs w:val="22"/>
        </w:rPr>
        <w:t>Likviditātes un likviditātes risku pārvaldīšanā tiek ņemta vērā arī citu risku ietekme (tostarp politiskā, tirgus, reputācijas un kredītriska ietekme).</w:t>
      </w:r>
    </w:p>
    <w:p w14:paraId="0B3169EA" w14:textId="77777777" w:rsidR="002304C3" w:rsidRPr="001C1974" w:rsidRDefault="00000000" w:rsidP="002304C3">
      <w:pPr>
        <w:jc w:val="both"/>
        <w:rPr>
          <w:rFonts w:eastAsia="Calibri" w:cs="Arial"/>
          <w:sz w:val="22"/>
          <w:szCs w:val="22"/>
        </w:rPr>
      </w:pPr>
      <w:r w:rsidRPr="001C1974">
        <w:rPr>
          <w:rFonts w:eastAsia="Calibri" w:cs="Arial"/>
          <w:sz w:val="22"/>
          <w:szCs w:val="22"/>
        </w:rPr>
        <w:t>Kredītriska pārvaldīšanā pašvaldība ievēro šādus pamatprincipus:</w:t>
      </w:r>
    </w:p>
    <w:p w14:paraId="01B8E5D1" w14:textId="77777777" w:rsidR="002304C3" w:rsidRPr="001C1974" w:rsidRDefault="00000000" w:rsidP="002304C3">
      <w:pPr>
        <w:pStyle w:val="Sarakstarindkopa"/>
        <w:numPr>
          <w:ilvl w:val="0"/>
          <w:numId w:val="15"/>
        </w:numPr>
        <w:overflowPunct w:val="0"/>
        <w:autoSpaceDE w:val="0"/>
        <w:autoSpaceDN w:val="0"/>
        <w:adjustRightInd w:val="0"/>
        <w:ind w:left="426"/>
        <w:jc w:val="both"/>
        <w:textAlignment w:val="baseline"/>
        <w:rPr>
          <w:rFonts w:cs="Arial"/>
          <w:sz w:val="22"/>
          <w:szCs w:val="22"/>
        </w:rPr>
      </w:pPr>
      <w:r w:rsidRPr="001C1974">
        <w:rPr>
          <w:rFonts w:cs="Arial"/>
          <w:sz w:val="22"/>
          <w:szCs w:val="22"/>
        </w:rPr>
        <w:t>Pašvaldībā ir noteiktas atbildīgās struktūrvienības par ieņēmumu daļas, kā arī noslēgto pakalpojumu, būvniecības u.c. līgumu, t.sk., finanšu saistību, izpildi;</w:t>
      </w:r>
    </w:p>
    <w:p w14:paraId="2D55320F" w14:textId="77777777" w:rsidR="002304C3" w:rsidRPr="001C1974" w:rsidRDefault="00000000" w:rsidP="002304C3">
      <w:pPr>
        <w:pStyle w:val="Sarakstarindkopa"/>
        <w:numPr>
          <w:ilvl w:val="0"/>
          <w:numId w:val="15"/>
        </w:numPr>
        <w:overflowPunct w:val="0"/>
        <w:autoSpaceDE w:val="0"/>
        <w:autoSpaceDN w:val="0"/>
        <w:adjustRightInd w:val="0"/>
        <w:ind w:left="426"/>
        <w:jc w:val="both"/>
        <w:textAlignment w:val="baseline"/>
        <w:rPr>
          <w:rFonts w:cs="Arial"/>
          <w:sz w:val="22"/>
          <w:szCs w:val="22"/>
        </w:rPr>
      </w:pPr>
      <w:r w:rsidRPr="001C1974">
        <w:rPr>
          <w:rFonts w:cs="Arial"/>
          <w:sz w:val="22"/>
          <w:szCs w:val="22"/>
        </w:rPr>
        <w:t>Pašvaldība, slēdzot līgumus, iestrādā soda sankcijas darījuma partnerim gadījumā, ja tas nepildīs līguma nosacījumus, kas konstatētajos gadījumos, tiek piemērotas;</w:t>
      </w:r>
    </w:p>
    <w:p w14:paraId="386E2698" w14:textId="77777777" w:rsidR="002304C3" w:rsidRDefault="002304C3" w:rsidP="002304C3">
      <w:pPr>
        <w:jc w:val="both"/>
        <w:rPr>
          <w:rFonts w:cs="Arial"/>
          <w:b/>
          <w:sz w:val="22"/>
          <w:szCs w:val="22"/>
        </w:rPr>
      </w:pPr>
    </w:p>
    <w:p w14:paraId="74CB6816" w14:textId="77777777" w:rsidR="002304C3" w:rsidRPr="001C1974" w:rsidRDefault="00000000" w:rsidP="002304C3">
      <w:pPr>
        <w:jc w:val="both"/>
        <w:rPr>
          <w:rFonts w:cs="Arial"/>
          <w:b/>
          <w:sz w:val="22"/>
          <w:szCs w:val="22"/>
        </w:rPr>
      </w:pPr>
      <w:r w:rsidRPr="001C1974">
        <w:rPr>
          <w:rFonts w:cs="Arial"/>
          <w:b/>
          <w:sz w:val="22"/>
          <w:szCs w:val="22"/>
        </w:rPr>
        <w:t>Ilgtermiņa aizņēmumi</w:t>
      </w:r>
    </w:p>
    <w:p w14:paraId="3A651026" w14:textId="77777777" w:rsidR="002304C3" w:rsidRPr="001C1974" w:rsidRDefault="00000000" w:rsidP="002304C3">
      <w:pPr>
        <w:ind w:firstLine="720"/>
        <w:jc w:val="both"/>
        <w:rPr>
          <w:rFonts w:cs="Arial"/>
          <w:sz w:val="22"/>
          <w:szCs w:val="22"/>
        </w:rPr>
      </w:pPr>
      <w:r w:rsidRPr="001C1974">
        <w:rPr>
          <w:rFonts w:cs="Arial"/>
          <w:sz w:val="22"/>
          <w:szCs w:val="22"/>
        </w:rPr>
        <w:t>Ilgtermiņa aizņēmumu saņemšanu valstī regulē likuma “Par pašvaldību budžetiem” VI nodaļa, likums “Par valsts budžetu 202</w:t>
      </w:r>
      <w:r>
        <w:rPr>
          <w:rFonts w:cs="Arial"/>
          <w:sz w:val="22"/>
          <w:szCs w:val="22"/>
        </w:rPr>
        <w:t>3</w:t>
      </w:r>
      <w:r w:rsidRPr="001C1974">
        <w:rPr>
          <w:rFonts w:cs="Arial"/>
          <w:sz w:val="22"/>
          <w:szCs w:val="22"/>
        </w:rPr>
        <w:t>. gadam</w:t>
      </w:r>
      <w:r>
        <w:rPr>
          <w:rFonts w:cs="Arial"/>
          <w:sz w:val="22"/>
          <w:szCs w:val="22"/>
        </w:rPr>
        <w:t xml:space="preserve"> un budžeta ietvaru 2023.,</w:t>
      </w:r>
      <w:r w:rsidR="00D86DAE">
        <w:rPr>
          <w:rFonts w:cs="Arial"/>
          <w:sz w:val="22"/>
          <w:szCs w:val="22"/>
        </w:rPr>
        <w:t xml:space="preserve"> </w:t>
      </w:r>
      <w:r>
        <w:rPr>
          <w:rFonts w:cs="Arial"/>
          <w:sz w:val="22"/>
          <w:szCs w:val="22"/>
        </w:rPr>
        <w:t>2024. un 2025.</w:t>
      </w:r>
      <w:r w:rsidR="00D86DAE">
        <w:rPr>
          <w:rFonts w:cs="Arial"/>
          <w:sz w:val="22"/>
          <w:szCs w:val="22"/>
        </w:rPr>
        <w:t xml:space="preserve"> </w:t>
      </w:r>
      <w:r>
        <w:rPr>
          <w:rFonts w:cs="Arial"/>
          <w:sz w:val="22"/>
          <w:szCs w:val="22"/>
        </w:rPr>
        <w:t>gadam</w:t>
      </w:r>
      <w:r w:rsidRPr="001C1974">
        <w:rPr>
          <w:rFonts w:cs="Arial"/>
          <w:sz w:val="22"/>
          <w:szCs w:val="22"/>
        </w:rPr>
        <w:t>”, 2019.</w:t>
      </w:r>
      <w:r w:rsidR="00D86DAE">
        <w:rPr>
          <w:rFonts w:cs="Arial"/>
          <w:sz w:val="22"/>
          <w:szCs w:val="22"/>
        </w:rPr>
        <w:t xml:space="preserve"> </w:t>
      </w:r>
      <w:r w:rsidRPr="001C1974">
        <w:rPr>
          <w:rFonts w:cs="Arial"/>
          <w:sz w:val="22"/>
          <w:szCs w:val="22"/>
        </w:rPr>
        <w:t>gada 10. decembra MK noteikumi Nr.590 “Noteikumi par pašvaldību aizņēmumiem un galvojumiem”.</w:t>
      </w:r>
    </w:p>
    <w:p w14:paraId="52295AE5" w14:textId="77777777" w:rsidR="002304C3" w:rsidRPr="001C1974" w:rsidRDefault="00000000" w:rsidP="002304C3">
      <w:pPr>
        <w:ind w:firstLine="720"/>
        <w:jc w:val="both"/>
        <w:rPr>
          <w:rFonts w:cs="Arial"/>
          <w:sz w:val="22"/>
          <w:szCs w:val="22"/>
          <w:u w:val="single"/>
        </w:rPr>
      </w:pPr>
      <w:r w:rsidRPr="001C1974">
        <w:rPr>
          <w:rFonts w:cs="Arial"/>
          <w:sz w:val="22"/>
          <w:szCs w:val="22"/>
          <w:u w:val="single"/>
        </w:rPr>
        <w:t>Galvenie riski:</w:t>
      </w:r>
    </w:p>
    <w:p w14:paraId="1790DBE9" w14:textId="77777777" w:rsidR="002304C3" w:rsidRPr="001C1974" w:rsidRDefault="00000000" w:rsidP="002304C3">
      <w:pPr>
        <w:pStyle w:val="Sarakstarindkopa"/>
        <w:numPr>
          <w:ilvl w:val="0"/>
          <w:numId w:val="14"/>
        </w:numPr>
        <w:spacing w:line="259" w:lineRule="auto"/>
        <w:jc w:val="both"/>
        <w:rPr>
          <w:rFonts w:cs="Arial"/>
          <w:sz w:val="22"/>
          <w:szCs w:val="22"/>
        </w:rPr>
      </w:pPr>
      <w:r w:rsidRPr="001C1974">
        <w:rPr>
          <w:rFonts w:cs="Arial"/>
          <w:sz w:val="22"/>
          <w:szCs w:val="22"/>
        </w:rPr>
        <w:t>pašvaldības budžeta ieņēmumu samazināšanās risks (piemēram, vispārējas krīzes gadījumā). Ja samazinās pašvaldības budžeta ieņēmumi, tad palielinās uzņemto ilgtermiņa saistību īpatsvars pret pašvaldības ieņēmumiem, kas var apdraudēt pašvaldības saistību nomaksu konkrētajā gadā. Lai samazinātu šo risku, pašvaldība uzņemoties jaunas saistības, aizņēmuma atmaksas grafiku paredz pēc iespējas sabalansējot pašvaldības kopējās saistības pa gadiem;</w:t>
      </w:r>
    </w:p>
    <w:p w14:paraId="2B512F85" w14:textId="77777777" w:rsidR="002304C3" w:rsidRPr="001C1974" w:rsidRDefault="00000000" w:rsidP="002304C3">
      <w:pPr>
        <w:pStyle w:val="Sarakstarindkopa"/>
        <w:numPr>
          <w:ilvl w:val="0"/>
          <w:numId w:val="14"/>
        </w:numPr>
        <w:spacing w:line="259" w:lineRule="auto"/>
        <w:jc w:val="both"/>
        <w:rPr>
          <w:rFonts w:cs="Arial"/>
          <w:sz w:val="22"/>
          <w:szCs w:val="22"/>
        </w:rPr>
      </w:pPr>
      <w:r w:rsidRPr="001C1974">
        <w:rPr>
          <w:rFonts w:cs="Arial"/>
          <w:sz w:val="22"/>
          <w:szCs w:val="22"/>
        </w:rPr>
        <w:t xml:space="preserve">Aizņēmumu procentu likmes risks. Tā kā aizņēmumu procentu likme ir saliktā un bez pastāvīgās daļas to veido arī mainīgā Euribor likme, Liepājas </w:t>
      </w:r>
      <w:r>
        <w:rPr>
          <w:rFonts w:cs="Arial"/>
          <w:sz w:val="22"/>
          <w:szCs w:val="22"/>
        </w:rPr>
        <w:t>valsts</w:t>
      </w:r>
      <w:r w:rsidRPr="001C1974">
        <w:rPr>
          <w:rFonts w:cs="Arial"/>
          <w:sz w:val="22"/>
          <w:szCs w:val="22"/>
        </w:rPr>
        <w:t xml:space="preserve">pilsētas pašvaldība izvēlas </w:t>
      </w:r>
      <w:r w:rsidRPr="00974F43">
        <w:rPr>
          <w:rFonts w:cs="Arial"/>
          <w:sz w:val="22"/>
          <w:szCs w:val="22"/>
        </w:rPr>
        <w:t>12</w:t>
      </w:r>
      <w:r w:rsidRPr="001C1974">
        <w:rPr>
          <w:rFonts w:cs="Arial"/>
          <w:sz w:val="22"/>
          <w:szCs w:val="22"/>
        </w:rPr>
        <w:t xml:space="preserve"> mēnešu mainīgo Euribor likmi, lai viena budžeta gada ietvaros iespējami samazinātu risku no šīs likmes iespējamās palielināšanās radītās finanšu ietekmes.</w:t>
      </w:r>
    </w:p>
    <w:p w14:paraId="6498CBCB" w14:textId="77777777" w:rsidR="002304C3" w:rsidRPr="001C1974" w:rsidRDefault="00000000" w:rsidP="00D86DAE">
      <w:pPr>
        <w:ind w:firstLine="709"/>
        <w:jc w:val="both"/>
        <w:rPr>
          <w:rFonts w:cs="Arial"/>
          <w:sz w:val="22"/>
          <w:szCs w:val="22"/>
        </w:rPr>
      </w:pPr>
      <w:r w:rsidRPr="001C1974">
        <w:rPr>
          <w:rFonts w:cs="Arial"/>
          <w:sz w:val="22"/>
          <w:szCs w:val="22"/>
        </w:rPr>
        <w:t>Liepājas pilsētas pašvaldībā jauna ilgtermiņa aizņēmuma saņemšanai investīciju projekta īstenošanai tiek sagatavots Domes lēmuma projekts, kurš tiek izskatīts pastāvīgajā Finanšu komitejā un apstiprināts Domes sēdē. Lēmuma projektā tiek noteikta aizņēmuma summa, atliktais maksājums, aizņēmuma atmaksas termiņš. Lēmuma projektam tiek pievienots</w:t>
      </w:r>
      <w:r>
        <w:rPr>
          <w:rFonts w:cs="Arial"/>
          <w:sz w:val="22"/>
          <w:szCs w:val="22"/>
        </w:rPr>
        <w:t xml:space="preserve"> </w:t>
      </w:r>
      <w:r w:rsidRPr="001C1974">
        <w:rPr>
          <w:rFonts w:cs="Arial"/>
          <w:sz w:val="22"/>
          <w:szCs w:val="22"/>
        </w:rPr>
        <w:t xml:space="preserve">aizņēmuma plānotais atmaksas grafiks, kurš sastādīts, ņemot vērā pašvaldības kopējās uzņemtās saistības un to sadalījumu pa gadiem. Aizņēmuma atmaksas grafiks var paredzēt vienmērīgu atmaksājamās summas sadalījumu pa gadiem vai var būt atšķirīgs atmaksājamās summas sadalījums pa gadiem, ņemot vērā pašvaldības jau uzņemtās saistības pa gadiem un iespējamo aizdevuma daļas pirmstermiņa dzēšanu, ja tiek īstenots ES fondu projekts, kurā pēc projekta pabeigšanas tiek saņemts gala maksājums no ES fondu līdzekļiem. </w:t>
      </w:r>
    </w:p>
    <w:p w14:paraId="54CF19B7" w14:textId="77777777" w:rsidR="002304C3" w:rsidRPr="001C1974" w:rsidRDefault="00000000" w:rsidP="002304C3">
      <w:pPr>
        <w:ind w:firstLine="720"/>
        <w:jc w:val="both"/>
        <w:rPr>
          <w:rFonts w:cs="Arial"/>
          <w:sz w:val="22"/>
          <w:szCs w:val="22"/>
        </w:rPr>
      </w:pPr>
      <w:r w:rsidRPr="001C1974">
        <w:rPr>
          <w:rFonts w:cs="Arial"/>
          <w:sz w:val="22"/>
          <w:szCs w:val="22"/>
        </w:rPr>
        <w:t xml:space="preserve">Īstenojot ES fondu projektus, aizņēmuma summa tiek noteikta ņemot vērā maksimālo avansa maksājumu no ES fondu līdzekļiem. Pēc projekta pabeigšanas saņemtais ES fondu finansējums tiek novirzīts aizņēmuma dzēšanai un tiek precizēts aizņēmuma atmaksas grafiks ar Valsts kasi. </w:t>
      </w:r>
    </w:p>
    <w:p w14:paraId="281A5BB2" w14:textId="77777777" w:rsidR="002304C3" w:rsidRDefault="002304C3" w:rsidP="002304C3">
      <w:pPr>
        <w:jc w:val="both"/>
        <w:rPr>
          <w:rFonts w:cs="Arial"/>
          <w:b/>
          <w:sz w:val="22"/>
          <w:szCs w:val="22"/>
        </w:rPr>
      </w:pPr>
    </w:p>
    <w:p w14:paraId="163C89D1" w14:textId="77777777" w:rsidR="002304C3" w:rsidRPr="001C1974" w:rsidRDefault="00000000" w:rsidP="002304C3">
      <w:pPr>
        <w:jc w:val="both"/>
        <w:rPr>
          <w:rFonts w:cs="Arial"/>
          <w:b/>
          <w:sz w:val="22"/>
          <w:szCs w:val="22"/>
        </w:rPr>
      </w:pPr>
      <w:r w:rsidRPr="001C1974">
        <w:rPr>
          <w:rFonts w:cs="Arial"/>
          <w:b/>
          <w:sz w:val="22"/>
          <w:szCs w:val="22"/>
        </w:rPr>
        <w:t>Līdzdalība kapitālsabiedrībā, kurā pašvaldības ieguldījums ir līdz 20% no balsstiesībām</w:t>
      </w:r>
    </w:p>
    <w:p w14:paraId="2B7FDBB6" w14:textId="77777777" w:rsidR="002304C3" w:rsidRPr="001C1974" w:rsidRDefault="00000000" w:rsidP="002304C3">
      <w:pPr>
        <w:ind w:firstLine="720"/>
        <w:jc w:val="both"/>
        <w:rPr>
          <w:rFonts w:cs="Arial"/>
          <w:sz w:val="22"/>
          <w:szCs w:val="22"/>
        </w:rPr>
      </w:pPr>
      <w:r w:rsidRPr="001C1974">
        <w:rPr>
          <w:rFonts w:cs="Arial"/>
          <w:sz w:val="22"/>
          <w:szCs w:val="22"/>
        </w:rPr>
        <w:t xml:space="preserve">Latvijas Republikā kapitālsabiedrību pārvaldīšanu regulē LR likums “Publiskas personas kapitāla daļu un kapitālsabiedrību </w:t>
      </w:r>
      <w:r>
        <w:rPr>
          <w:rFonts w:cs="Arial"/>
          <w:sz w:val="22"/>
          <w:szCs w:val="22"/>
        </w:rPr>
        <w:t xml:space="preserve">pārvaldības </w:t>
      </w:r>
      <w:r w:rsidRPr="001C1974">
        <w:rPr>
          <w:rFonts w:cs="Arial"/>
          <w:sz w:val="22"/>
          <w:szCs w:val="22"/>
        </w:rPr>
        <w:t>likums”. Liepājas pilsētas pašvaldībā kapitālsabiedrību pārvaldīšanu nosaka 2019.</w:t>
      </w:r>
      <w:r w:rsidR="00D86DAE">
        <w:rPr>
          <w:rFonts w:cs="Arial"/>
          <w:sz w:val="22"/>
          <w:szCs w:val="22"/>
        </w:rPr>
        <w:t xml:space="preserve"> </w:t>
      </w:r>
      <w:r w:rsidRPr="001C1974">
        <w:rPr>
          <w:rFonts w:cs="Arial"/>
          <w:sz w:val="22"/>
          <w:szCs w:val="22"/>
        </w:rPr>
        <w:t>gada 19.</w:t>
      </w:r>
      <w:r w:rsidR="00D86DAE">
        <w:rPr>
          <w:rFonts w:cs="Arial"/>
          <w:sz w:val="22"/>
          <w:szCs w:val="22"/>
        </w:rPr>
        <w:t xml:space="preserve"> </w:t>
      </w:r>
      <w:r w:rsidRPr="001C1974">
        <w:rPr>
          <w:rFonts w:cs="Arial"/>
          <w:sz w:val="22"/>
          <w:szCs w:val="22"/>
        </w:rPr>
        <w:t>decembra Liepājas pilsētas domes noteikumi Nr.2</w:t>
      </w:r>
      <w:r>
        <w:rPr>
          <w:rFonts w:cs="Arial"/>
          <w:sz w:val="22"/>
          <w:szCs w:val="22"/>
        </w:rPr>
        <w:t xml:space="preserve"> </w:t>
      </w:r>
      <w:r w:rsidRPr="001C1974">
        <w:rPr>
          <w:rFonts w:cs="Arial"/>
          <w:sz w:val="22"/>
          <w:szCs w:val="22"/>
        </w:rPr>
        <w:t>“Kapitālsabiedrību un kapitāla daļu pārvaldī</w:t>
      </w:r>
      <w:r>
        <w:rPr>
          <w:rFonts w:cs="Arial"/>
          <w:sz w:val="22"/>
          <w:szCs w:val="22"/>
        </w:rPr>
        <w:t>bas</w:t>
      </w:r>
      <w:r w:rsidRPr="001C1974">
        <w:rPr>
          <w:rFonts w:cs="Arial"/>
          <w:sz w:val="22"/>
          <w:szCs w:val="22"/>
        </w:rPr>
        <w:t xml:space="preserve"> noteikumi”.</w:t>
      </w:r>
    </w:p>
    <w:p w14:paraId="631CA537" w14:textId="77777777" w:rsidR="002304C3" w:rsidRDefault="00000000" w:rsidP="002304C3">
      <w:pPr>
        <w:jc w:val="both"/>
        <w:rPr>
          <w:rFonts w:cs="Arial"/>
          <w:b/>
          <w:sz w:val="22"/>
          <w:szCs w:val="22"/>
        </w:rPr>
      </w:pPr>
      <w:r w:rsidRPr="001C1974">
        <w:rPr>
          <w:rFonts w:cs="Arial"/>
          <w:b/>
          <w:sz w:val="22"/>
          <w:szCs w:val="22"/>
        </w:rPr>
        <w:lastRenderedPageBreak/>
        <w:tab/>
      </w:r>
    </w:p>
    <w:p w14:paraId="5CFB0F7D" w14:textId="77777777" w:rsidR="002304C3" w:rsidRPr="001C1974" w:rsidRDefault="00000000" w:rsidP="002304C3">
      <w:pPr>
        <w:ind w:firstLine="720"/>
        <w:jc w:val="both"/>
        <w:rPr>
          <w:rFonts w:cs="Arial"/>
          <w:sz w:val="22"/>
          <w:szCs w:val="22"/>
          <w:u w:val="single"/>
        </w:rPr>
      </w:pPr>
      <w:r w:rsidRPr="001C1974">
        <w:rPr>
          <w:rFonts w:cs="Arial"/>
          <w:sz w:val="22"/>
          <w:szCs w:val="22"/>
          <w:u w:val="single"/>
        </w:rPr>
        <w:t>Galvenais risks:</w:t>
      </w:r>
    </w:p>
    <w:p w14:paraId="268E0674" w14:textId="77777777" w:rsidR="002304C3" w:rsidRPr="001C1974" w:rsidRDefault="00000000" w:rsidP="002304C3">
      <w:pPr>
        <w:ind w:firstLine="720"/>
        <w:jc w:val="both"/>
        <w:rPr>
          <w:rFonts w:cs="Arial"/>
          <w:sz w:val="22"/>
          <w:szCs w:val="22"/>
        </w:rPr>
      </w:pPr>
      <w:r w:rsidRPr="001C1974">
        <w:rPr>
          <w:rFonts w:cs="Arial"/>
          <w:sz w:val="22"/>
          <w:szCs w:val="22"/>
        </w:rPr>
        <w:t>Kapitālsabiedrības likviditātes risks – kapitālsabiedrības ienākumu un izdevumu termiņu nesabalansētība. Ja ieņēmumi nav sabalansēti ar izdevumiem pa termiņiem, tas nozīmē, ka uzņēmums kādā brīdī nevar izpildīt savas saistības un var iestāties maksātnespēja. Attiecīgi pašvaldība var pazaudēt savu ieguldījumu.</w:t>
      </w:r>
    </w:p>
    <w:p w14:paraId="319A5407" w14:textId="77777777" w:rsidR="002304C3" w:rsidRPr="001C1974" w:rsidRDefault="00000000" w:rsidP="002304C3">
      <w:pPr>
        <w:ind w:firstLine="720"/>
        <w:jc w:val="both"/>
        <w:rPr>
          <w:rFonts w:cs="Arial"/>
          <w:sz w:val="22"/>
          <w:szCs w:val="22"/>
        </w:rPr>
      </w:pPr>
      <w:r w:rsidRPr="001C1974">
        <w:rPr>
          <w:rFonts w:cs="Arial"/>
          <w:sz w:val="22"/>
          <w:szCs w:val="22"/>
        </w:rPr>
        <w:t xml:space="preserve">Liepājas pilsētas pašvaldībā ir viena kapitālsabiedrība, kurā pašvaldības ieguldījums ir līdz 20% no balsstiesībām – SIA “OC Liepāja”. Minētai kapitālsabiedrībai ir uzticēts veikts deleģēto pārvaldes funkciju un tiek piešķirta pašvaldības dotācija deleģētās funkcijas veikšanai. Lai izvairītos no likviditātes riska, atbilstoši ikgadējiem Metodiskajiem norādījumiem “Par budžeta projekta izstrādes un iesniegšanas kārtību kapitālsabiedrībām”, tiek noteikti budžeta sastādīšanas vispārējie jautājumi, veidošanas principi un budžeta projekta sastāvs. Budžeta projekts tiek sastādīts un budžeta izpilde tiek iesniegta pēc naudas plūsmas metodes, sabalansējot ieņēmumus un izdevumus, kā arī paredzot pamatotu un pietiekamu pašvaldības budžeta dotāciju deleģētās funkcijas veikšanai. Budžeta projekta attīstības daļa tiek saskaņota ar pašvaldības un konkrētās kapitālsabiedrības attīstības plānošanas dokumentiem. </w:t>
      </w:r>
    </w:p>
    <w:p w14:paraId="089659C0" w14:textId="77777777" w:rsidR="002304C3" w:rsidRDefault="00000000" w:rsidP="002304C3">
      <w:pPr>
        <w:ind w:firstLine="720"/>
        <w:jc w:val="both"/>
        <w:rPr>
          <w:rFonts w:cs="Arial"/>
          <w:sz w:val="22"/>
          <w:szCs w:val="22"/>
        </w:rPr>
      </w:pPr>
      <w:r w:rsidRPr="001C1974">
        <w:rPr>
          <w:rFonts w:cs="Arial"/>
          <w:sz w:val="22"/>
          <w:szCs w:val="22"/>
        </w:rPr>
        <w:t>Pēc</w:t>
      </w:r>
      <w:r>
        <w:rPr>
          <w:rFonts w:cs="Arial"/>
          <w:sz w:val="22"/>
          <w:szCs w:val="22"/>
        </w:rPr>
        <w:t xml:space="preserve"> </w:t>
      </w:r>
      <w:r w:rsidRPr="001C1974">
        <w:rPr>
          <w:rFonts w:cs="Arial"/>
          <w:sz w:val="22"/>
          <w:szCs w:val="22"/>
        </w:rPr>
        <w:t>pašvaldības budžeta apstiprināšanas kapitālsabiedrība iesniedz pašvaldības dotācijas deleģētās funkcijas veikšanai izmaksas grafiku pa mēnešiem, lai novērstu ieņēmumu un izdevumu nesabalansētību pa mēnešiem. Reizi ceturksnī kapitālsabiedrība iesniedz Finanšu pārvaldē atskaiti par budžeta izpildi, kas sagatavota pēc naudas plūsmas principa, atspoguļojot gan pašvaldības dotācijas izlietojumu, gan kapitālsabiedrības maksas pakalpojumu ieņēmumus un izdevumus. Ja iepriekš neparedzētu apstākļu dēļ rodas naudas plūsmas problēmas, tad gada laikā dotācijas izmaksas grafiku var precizēt kopējā kapitālsabiedrībai piešķirtā finansējuma ietvar</w:t>
      </w:r>
      <w:r>
        <w:rPr>
          <w:rFonts w:cs="Arial"/>
          <w:sz w:val="22"/>
          <w:szCs w:val="22"/>
        </w:rPr>
        <w:t>os.</w:t>
      </w:r>
    </w:p>
    <w:p w14:paraId="0AFDDFFD" w14:textId="77777777" w:rsidR="000F232A" w:rsidRDefault="000F232A" w:rsidP="00607627">
      <w:pPr>
        <w:widowControl w:val="0"/>
        <w:autoSpaceDE w:val="0"/>
        <w:autoSpaceDN w:val="0"/>
        <w:adjustRightInd w:val="0"/>
        <w:jc w:val="both"/>
        <w:rPr>
          <w:rFonts w:cs="Arial"/>
          <w:sz w:val="22"/>
          <w:szCs w:val="22"/>
        </w:rPr>
      </w:pPr>
    </w:p>
    <w:p w14:paraId="48869A17" w14:textId="77777777" w:rsidR="000F232A" w:rsidRPr="00607627" w:rsidRDefault="000F232A" w:rsidP="00607627">
      <w:pPr>
        <w:widowControl w:val="0"/>
        <w:autoSpaceDE w:val="0"/>
        <w:autoSpaceDN w:val="0"/>
        <w:adjustRightInd w:val="0"/>
        <w:jc w:val="both"/>
        <w:rPr>
          <w:rFonts w:cs="Arial"/>
          <w:sz w:val="22"/>
          <w:szCs w:val="22"/>
        </w:rPr>
      </w:pPr>
    </w:p>
    <w:p w14:paraId="6ED2527F" w14:textId="77777777" w:rsidR="00607627" w:rsidRPr="00607627" w:rsidRDefault="00607627" w:rsidP="00607627">
      <w:pPr>
        <w:widowControl w:val="0"/>
        <w:autoSpaceDE w:val="0"/>
        <w:autoSpaceDN w:val="0"/>
        <w:adjustRightInd w:val="0"/>
        <w:jc w:val="both"/>
        <w:rPr>
          <w:rFonts w:cs="Arial"/>
          <w:sz w:val="22"/>
          <w:szCs w:val="22"/>
        </w:rPr>
      </w:pPr>
    </w:p>
    <w:tbl>
      <w:tblPr>
        <w:tblW w:w="9521" w:type="dxa"/>
        <w:tblInd w:w="-56" w:type="dxa"/>
        <w:tblLayout w:type="fixed"/>
        <w:tblCellMar>
          <w:left w:w="60" w:type="dxa"/>
          <w:right w:w="60" w:type="dxa"/>
        </w:tblCellMar>
        <w:tblLook w:val="0000" w:firstRow="0" w:lastRow="0" w:firstColumn="0" w:lastColumn="0" w:noHBand="0" w:noVBand="0"/>
      </w:tblPr>
      <w:tblGrid>
        <w:gridCol w:w="1998"/>
        <w:gridCol w:w="3702"/>
        <w:gridCol w:w="2861"/>
        <w:gridCol w:w="960"/>
      </w:tblGrid>
      <w:tr w:rsidR="00161F20" w14:paraId="59E14965" w14:textId="77777777" w:rsidTr="000719D1">
        <w:trPr>
          <w:gridAfter w:val="1"/>
          <w:wAfter w:w="960" w:type="dxa"/>
        </w:trPr>
        <w:tc>
          <w:tcPr>
            <w:tcW w:w="5700" w:type="dxa"/>
            <w:gridSpan w:val="2"/>
            <w:tcBorders>
              <w:top w:val="nil"/>
              <w:left w:val="nil"/>
              <w:bottom w:val="nil"/>
              <w:right w:val="nil"/>
            </w:tcBorders>
          </w:tcPr>
          <w:p w14:paraId="15B3D2CB" w14:textId="77777777" w:rsidR="00607627" w:rsidRPr="00400F9C" w:rsidRDefault="00000000" w:rsidP="00324C08">
            <w:pPr>
              <w:widowControl w:val="0"/>
              <w:autoSpaceDE w:val="0"/>
              <w:autoSpaceDN w:val="0"/>
              <w:adjustRightInd w:val="0"/>
              <w:rPr>
                <w:rFonts w:cs="Arial"/>
                <w:szCs w:val="20"/>
              </w:rPr>
            </w:pPr>
            <w:r>
              <w:rPr>
                <w:rFonts w:cs="Arial"/>
                <w:color w:val="000000"/>
                <w:szCs w:val="20"/>
                <w:shd w:val="clear" w:color="auto" w:fill="FFFFFF"/>
              </w:rPr>
              <w:t>Izpilddirektors</w:t>
            </w:r>
          </w:p>
        </w:tc>
        <w:tc>
          <w:tcPr>
            <w:tcW w:w="2861" w:type="dxa"/>
            <w:tcBorders>
              <w:top w:val="nil"/>
              <w:left w:val="nil"/>
              <w:bottom w:val="nil"/>
              <w:right w:val="nil"/>
            </w:tcBorders>
          </w:tcPr>
          <w:p w14:paraId="2EAA6494" w14:textId="77777777" w:rsidR="00607627" w:rsidRPr="00814E16" w:rsidRDefault="00000000" w:rsidP="004B4C67">
            <w:pPr>
              <w:widowControl w:val="0"/>
              <w:autoSpaceDE w:val="0"/>
              <w:autoSpaceDN w:val="0"/>
              <w:adjustRightInd w:val="0"/>
              <w:jc w:val="right"/>
              <w:rPr>
                <w:rFonts w:cs="Arial"/>
                <w:szCs w:val="20"/>
              </w:rPr>
            </w:pPr>
            <w:r w:rsidRPr="00814E16">
              <w:rPr>
                <w:rFonts w:cs="Arial"/>
                <w:szCs w:val="20"/>
              </w:rPr>
              <w:t>Ronalds Fricbergs</w:t>
            </w:r>
          </w:p>
        </w:tc>
      </w:tr>
      <w:tr w:rsidR="00161F20" w14:paraId="4A75FC5B" w14:textId="77777777" w:rsidTr="000719D1">
        <w:tc>
          <w:tcPr>
            <w:tcW w:w="1998" w:type="dxa"/>
            <w:tcBorders>
              <w:top w:val="nil"/>
              <w:left w:val="nil"/>
              <w:bottom w:val="nil"/>
              <w:right w:val="nil"/>
            </w:tcBorders>
          </w:tcPr>
          <w:p w14:paraId="32C99A68" w14:textId="77777777" w:rsidR="000719D1" w:rsidRPr="001002D7" w:rsidRDefault="000719D1" w:rsidP="004B4C67">
            <w:pPr>
              <w:widowControl w:val="0"/>
              <w:autoSpaceDE w:val="0"/>
              <w:autoSpaceDN w:val="0"/>
              <w:adjustRightInd w:val="0"/>
              <w:rPr>
                <w:rFonts w:cs="Arial"/>
                <w:szCs w:val="20"/>
              </w:rPr>
            </w:pPr>
          </w:p>
        </w:tc>
        <w:tc>
          <w:tcPr>
            <w:tcW w:w="7523" w:type="dxa"/>
            <w:gridSpan w:val="3"/>
            <w:tcBorders>
              <w:top w:val="nil"/>
              <w:left w:val="nil"/>
              <w:bottom w:val="nil"/>
              <w:right w:val="nil"/>
            </w:tcBorders>
          </w:tcPr>
          <w:p w14:paraId="7B356523" w14:textId="77777777" w:rsidR="00607627" w:rsidRPr="001002D7" w:rsidRDefault="00607627" w:rsidP="004B4C67">
            <w:pPr>
              <w:widowControl w:val="0"/>
              <w:autoSpaceDE w:val="0"/>
              <w:autoSpaceDN w:val="0"/>
              <w:adjustRightInd w:val="0"/>
              <w:rPr>
                <w:rFonts w:cs="Arial"/>
                <w:szCs w:val="20"/>
              </w:rPr>
            </w:pPr>
          </w:p>
        </w:tc>
      </w:tr>
    </w:tbl>
    <w:p w14:paraId="2B5F06A7" w14:textId="77777777" w:rsidR="00887E07" w:rsidRDefault="00000000" w:rsidP="00607627">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778EF51A" w14:textId="77777777" w:rsidR="00C34854" w:rsidRDefault="00000000" w:rsidP="00814E16">
      <w:pPr>
        <w:rPr>
          <w:rFonts w:cs="Arial"/>
          <w:szCs w:val="20"/>
        </w:rPr>
      </w:pPr>
      <w:r w:rsidRPr="00814E16">
        <w:rPr>
          <w:rFonts w:cs="Arial"/>
          <w:szCs w:val="20"/>
        </w:rPr>
        <w:t>Vecbaštika 63404734</w:t>
      </w:r>
    </w:p>
    <w:p w14:paraId="425DEEBD" w14:textId="77777777" w:rsidR="00814E16" w:rsidRPr="00814E16" w:rsidRDefault="00000000" w:rsidP="00814E16">
      <w:pPr>
        <w:rPr>
          <w:rFonts w:cs="Arial"/>
          <w:szCs w:val="20"/>
        </w:rPr>
      </w:pPr>
      <w:r w:rsidRPr="00814E16">
        <w:rPr>
          <w:rFonts w:cs="Arial"/>
          <w:szCs w:val="20"/>
        </w:rPr>
        <w:t>daiga.vecbastika@liepaja.lv</w:t>
      </w:r>
    </w:p>
    <w:p w14:paraId="289CB216" w14:textId="77777777" w:rsidR="00C34854" w:rsidRDefault="00000000" w:rsidP="00814E16">
      <w:pPr>
        <w:rPr>
          <w:rFonts w:cs="Arial"/>
          <w:szCs w:val="20"/>
        </w:rPr>
      </w:pPr>
      <w:r w:rsidRPr="00814E16">
        <w:rPr>
          <w:rFonts w:cs="Arial"/>
          <w:szCs w:val="20"/>
        </w:rPr>
        <w:t xml:space="preserve"> </w:t>
      </w:r>
    </w:p>
    <w:p w14:paraId="1E68BF46" w14:textId="77777777" w:rsidR="00814E16" w:rsidRPr="00814E16" w:rsidRDefault="00814E16" w:rsidP="00814E16">
      <w:pPr>
        <w:rPr>
          <w:rFonts w:cs="Arial"/>
          <w:szCs w:val="20"/>
        </w:rPr>
      </w:pPr>
    </w:p>
    <w:p w14:paraId="337EACA2" w14:textId="77777777" w:rsidR="00C34854" w:rsidRDefault="00000000" w:rsidP="00814E16">
      <w:pPr>
        <w:rPr>
          <w:rFonts w:cs="Arial"/>
          <w:szCs w:val="20"/>
        </w:rPr>
      </w:pPr>
      <w:r w:rsidRPr="00814E16">
        <w:rPr>
          <w:rFonts w:cs="Arial"/>
          <w:szCs w:val="20"/>
        </w:rPr>
        <w:t xml:space="preserve"> </w:t>
      </w:r>
    </w:p>
    <w:p w14:paraId="1DB19247" w14:textId="77777777" w:rsidR="00814E16" w:rsidRPr="00814E16" w:rsidRDefault="00814E16" w:rsidP="00814E16">
      <w:pPr>
        <w:rPr>
          <w:rFonts w:cs="Arial"/>
          <w:szCs w:val="20"/>
        </w:rPr>
      </w:pPr>
    </w:p>
    <w:p w14:paraId="404575F3" w14:textId="77777777" w:rsidR="00814E16" w:rsidRPr="001002D7" w:rsidRDefault="00814E16" w:rsidP="00607627">
      <w:pPr>
        <w:rPr>
          <w:rFonts w:cs="Arial"/>
          <w:szCs w:val="20"/>
        </w:rPr>
      </w:pPr>
    </w:p>
    <w:sectPr w:rsidR="00814E16" w:rsidRPr="001002D7" w:rsidSect="009F665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EA78B" w14:textId="77777777" w:rsidR="009F6658" w:rsidRDefault="009F6658">
      <w:r>
        <w:separator/>
      </w:r>
    </w:p>
  </w:endnote>
  <w:endnote w:type="continuationSeparator" w:id="0">
    <w:p w14:paraId="10AFACB1" w14:textId="77777777" w:rsidR="009F6658" w:rsidRDefault="009F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757EF" w14:textId="77777777" w:rsidR="00E90D4C" w:rsidRPr="00765476" w:rsidRDefault="00E90D4C" w:rsidP="006E5122">
    <w:pPr>
      <w:pStyle w:val="Kjene"/>
      <w:jc w:val="both"/>
    </w:pPr>
  </w:p>
  <w:p w14:paraId="7D954D4D" w14:textId="77777777" w:rsidR="00D0691F" w:rsidRDefault="00000000">
    <w:r>
      <w:t xml:space="preserve">          Šis dokuments ir parakstīts ar drošu elektronisko parakstu un satur laika zīmogu</w:t>
    </w:r>
  </w:p>
  <w:p w14:paraId="63C38F3D" w14:textId="77777777" w:rsidR="00161F2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85F8" w14:textId="77777777" w:rsidR="00D0691F" w:rsidRDefault="00000000">
    <w:r>
      <w:t xml:space="preserve">          Šis dokuments ir parakstīts ar drošu elektronisko parakstu un satur laika zīmogu</w:t>
    </w:r>
  </w:p>
  <w:p w14:paraId="18F369B1" w14:textId="77777777" w:rsidR="00161F2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F8305" w14:textId="77777777" w:rsidR="009F6658" w:rsidRDefault="009F6658">
      <w:r>
        <w:separator/>
      </w:r>
    </w:p>
  </w:footnote>
  <w:footnote w:type="continuationSeparator" w:id="0">
    <w:p w14:paraId="2FC3C7CB" w14:textId="77777777" w:rsidR="009F6658" w:rsidRDefault="009F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D1C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A5C9B" w14:textId="77777777" w:rsidR="00EB209C" w:rsidRPr="003127B3" w:rsidRDefault="00000000" w:rsidP="00EB209C">
    <w:pPr>
      <w:pStyle w:val="Galvene"/>
      <w:tabs>
        <w:tab w:val="left" w:pos="3828"/>
      </w:tabs>
      <w:jc w:val="center"/>
      <w:rPr>
        <w:rFonts w:ascii="Arial" w:hAnsi="Arial" w:cs="Arial"/>
      </w:rPr>
    </w:pPr>
    <w:r w:rsidRPr="003127B3">
      <w:rPr>
        <w:noProof/>
        <w:lang w:eastAsia="lv-LV"/>
      </w:rPr>
      <w:drawing>
        <wp:inline distT="0" distB="0" distL="0" distR="0" wp14:anchorId="608FCAC2" wp14:editId="07625690">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1607"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 cy="754010"/>
                  </a:xfrm>
                  <a:prstGeom prst="rect">
                    <a:avLst/>
                  </a:prstGeom>
                  <a:noFill/>
                  <a:ln>
                    <a:noFill/>
                  </a:ln>
                </pic:spPr>
              </pic:pic>
            </a:graphicData>
          </a:graphic>
        </wp:inline>
      </w:drawing>
    </w:r>
  </w:p>
  <w:p w14:paraId="548F6420" w14:textId="77777777" w:rsidR="00EB209C" w:rsidRPr="003127B3" w:rsidRDefault="00EB209C" w:rsidP="00EB209C">
    <w:pPr>
      <w:pStyle w:val="Galvene"/>
      <w:jc w:val="center"/>
      <w:rPr>
        <w:rFonts w:ascii="Arial" w:hAnsi="Arial" w:cs="Arial"/>
        <w:sz w:val="10"/>
      </w:rPr>
    </w:pPr>
  </w:p>
  <w:p w14:paraId="1C00F3D9" w14:textId="77777777" w:rsidR="003F4903" w:rsidRDefault="00000000" w:rsidP="001002D7">
    <w:pPr>
      <w:pStyle w:val="Galvene"/>
      <w:spacing w:before="120"/>
      <w:jc w:val="center"/>
      <w:rPr>
        <w:rFonts w:ascii="Arial" w:hAnsi="Arial" w:cs="Arial"/>
        <w:b/>
      </w:rPr>
    </w:pPr>
    <w:r>
      <w:rPr>
        <w:rFonts w:ascii="Arial" w:hAnsi="Arial" w:cs="Arial"/>
        <w:b/>
      </w:rPr>
      <w:t>Liepājas valstspilsētas pašvaldība</w:t>
    </w:r>
  </w:p>
  <w:p w14:paraId="6B978599" w14:textId="77777777" w:rsidR="001002D7" w:rsidRPr="003127B3" w:rsidRDefault="00000000" w:rsidP="001002D7">
    <w:pPr>
      <w:pStyle w:val="Galvene"/>
      <w:spacing w:before="120"/>
      <w:jc w:val="center"/>
      <w:rPr>
        <w:rFonts w:ascii="Arial" w:hAnsi="Arial" w:cs="Arial"/>
        <w:sz w:val="16"/>
        <w:szCs w:val="16"/>
      </w:rPr>
    </w:pPr>
    <w:r w:rsidRPr="003127B3">
      <w:rPr>
        <w:rFonts w:ascii="Arial" w:hAnsi="Arial" w:cs="Arial"/>
        <w:sz w:val="16"/>
        <w:szCs w:val="16"/>
      </w:rPr>
      <w:t>Rožu iel</w:t>
    </w:r>
    <w:r w:rsidR="0089778F">
      <w:rPr>
        <w:rFonts w:ascii="Arial" w:hAnsi="Arial" w:cs="Arial"/>
        <w:sz w:val="16"/>
        <w:szCs w:val="16"/>
      </w:rPr>
      <w:t>a</w:t>
    </w:r>
    <w:r w:rsidRPr="003127B3">
      <w:rPr>
        <w:rFonts w:ascii="Arial" w:hAnsi="Arial" w:cs="Arial"/>
        <w:sz w:val="16"/>
        <w:szCs w:val="16"/>
      </w:rPr>
      <w:t xml:space="preserve"> 6, Liepāj</w:t>
    </w:r>
    <w:r w:rsidR="006B2C7E">
      <w:rPr>
        <w:rFonts w:ascii="Arial" w:hAnsi="Arial" w:cs="Arial"/>
        <w:sz w:val="16"/>
        <w:szCs w:val="16"/>
      </w:rPr>
      <w:t>a</w:t>
    </w:r>
    <w:r w:rsidRPr="003127B3">
      <w:rPr>
        <w:rFonts w:ascii="Arial" w:hAnsi="Arial" w:cs="Arial"/>
        <w:sz w:val="16"/>
        <w:szCs w:val="16"/>
      </w:rPr>
      <w:t xml:space="preserve">, LV-3401, tālrunis: 63404750, e-pasts: </w:t>
    </w:r>
    <w:r w:rsidR="00353A04">
      <w:rPr>
        <w:rFonts w:ascii="Arial" w:hAnsi="Arial" w:cs="Arial"/>
        <w:sz w:val="16"/>
        <w:szCs w:val="16"/>
      </w:rPr>
      <w:t>pasts</w:t>
    </w:r>
    <w:r w:rsidRPr="003127B3">
      <w:rPr>
        <w:rFonts w:ascii="Arial" w:hAnsi="Arial" w:cs="Arial"/>
        <w:sz w:val="16"/>
        <w:szCs w:val="16"/>
      </w:rPr>
      <w:t>@liepaja.lv, www.liepaja.lv</w:t>
    </w:r>
  </w:p>
  <w:p w14:paraId="2EED4082" w14:textId="77777777" w:rsidR="00607627" w:rsidRPr="003127B3" w:rsidRDefault="00607627" w:rsidP="00AE2B38">
    <w:pPr>
      <w:pStyle w:val="Galvene"/>
      <w:spacing w:before="120"/>
      <w:jc w:val="center"/>
      <w:rPr>
        <w:rFonts w:ascii="Arial" w:hAnsi="Arial" w:cs="Arial"/>
        <w:sz w:val="16"/>
        <w:szCs w:val="16"/>
      </w:rPr>
    </w:pPr>
  </w:p>
  <w:p w14:paraId="5ED093D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7F4236"/>
    <w:multiLevelType w:val="hybridMultilevel"/>
    <w:tmpl w:val="AE6E62BE"/>
    <w:lvl w:ilvl="0" w:tplc="379A56BC">
      <w:numFmt w:val="bullet"/>
      <w:lvlText w:val="-"/>
      <w:lvlJc w:val="left"/>
      <w:pPr>
        <w:ind w:left="720" w:hanging="360"/>
      </w:pPr>
      <w:rPr>
        <w:rFonts w:ascii="Arial" w:eastAsiaTheme="minorHAnsi" w:hAnsi="Arial" w:cs="Arial" w:hint="default"/>
      </w:rPr>
    </w:lvl>
    <w:lvl w:ilvl="1" w:tplc="FFDC5C06" w:tentative="1">
      <w:start w:val="1"/>
      <w:numFmt w:val="bullet"/>
      <w:lvlText w:val="o"/>
      <w:lvlJc w:val="left"/>
      <w:pPr>
        <w:ind w:left="1440" w:hanging="360"/>
      </w:pPr>
      <w:rPr>
        <w:rFonts w:ascii="Courier New" w:hAnsi="Courier New" w:cs="Courier New" w:hint="default"/>
      </w:rPr>
    </w:lvl>
    <w:lvl w:ilvl="2" w:tplc="E25A3A5E" w:tentative="1">
      <w:start w:val="1"/>
      <w:numFmt w:val="bullet"/>
      <w:lvlText w:val=""/>
      <w:lvlJc w:val="left"/>
      <w:pPr>
        <w:ind w:left="2160" w:hanging="360"/>
      </w:pPr>
      <w:rPr>
        <w:rFonts w:ascii="Wingdings" w:hAnsi="Wingdings" w:hint="default"/>
      </w:rPr>
    </w:lvl>
    <w:lvl w:ilvl="3" w:tplc="7CC871BC" w:tentative="1">
      <w:start w:val="1"/>
      <w:numFmt w:val="bullet"/>
      <w:lvlText w:val=""/>
      <w:lvlJc w:val="left"/>
      <w:pPr>
        <w:ind w:left="2880" w:hanging="360"/>
      </w:pPr>
      <w:rPr>
        <w:rFonts w:ascii="Symbol" w:hAnsi="Symbol" w:hint="default"/>
      </w:rPr>
    </w:lvl>
    <w:lvl w:ilvl="4" w:tplc="CA689654" w:tentative="1">
      <w:start w:val="1"/>
      <w:numFmt w:val="bullet"/>
      <w:lvlText w:val="o"/>
      <w:lvlJc w:val="left"/>
      <w:pPr>
        <w:ind w:left="3600" w:hanging="360"/>
      </w:pPr>
      <w:rPr>
        <w:rFonts w:ascii="Courier New" w:hAnsi="Courier New" w:cs="Courier New" w:hint="default"/>
      </w:rPr>
    </w:lvl>
    <w:lvl w:ilvl="5" w:tplc="8F3089A2" w:tentative="1">
      <w:start w:val="1"/>
      <w:numFmt w:val="bullet"/>
      <w:lvlText w:val=""/>
      <w:lvlJc w:val="left"/>
      <w:pPr>
        <w:ind w:left="4320" w:hanging="360"/>
      </w:pPr>
      <w:rPr>
        <w:rFonts w:ascii="Wingdings" w:hAnsi="Wingdings" w:hint="default"/>
      </w:rPr>
    </w:lvl>
    <w:lvl w:ilvl="6" w:tplc="8E189C74" w:tentative="1">
      <w:start w:val="1"/>
      <w:numFmt w:val="bullet"/>
      <w:lvlText w:val=""/>
      <w:lvlJc w:val="left"/>
      <w:pPr>
        <w:ind w:left="5040" w:hanging="360"/>
      </w:pPr>
      <w:rPr>
        <w:rFonts w:ascii="Symbol" w:hAnsi="Symbol" w:hint="default"/>
      </w:rPr>
    </w:lvl>
    <w:lvl w:ilvl="7" w:tplc="95A2DEB6" w:tentative="1">
      <w:start w:val="1"/>
      <w:numFmt w:val="bullet"/>
      <w:lvlText w:val="o"/>
      <w:lvlJc w:val="left"/>
      <w:pPr>
        <w:ind w:left="5760" w:hanging="360"/>
      </w:pPr>
      <w:rPr>
        <w:rFonts w:ascii="Courier New" w:hAnsi="Courier New" w:cs="Courier New" w:hint="default"/>
      </w:rPr>
    </w:lvl>
    <w:lvl w:ilvl="8" w:tplc="A774B3AA" w:tentative="1">
      <w:start w:val="1"/>
      <w:numFmt w:val="bullet"/>
      <w:lvlText w:val=""/>
      <w:lvlJc w:val="left"/>
      <w:pPr>
        <w:ind w:left="6480" w:hanging="360"/>
      </w:pPr>
      <w:rPr>
        <w:rFonts w:ascii="Wingdings" w:hAnsi="Wingdings" w:hint="default"/>
      </w:rPr>
    </w:lvl>
  </w:abstractNum>
  <w:abstractNum w:abstractNumId="2" w15:restartNumberingAfterBreak="0">
    <w:nsid w:val="01153EE6"/>
    <w:multiLevelType w:val="hybridMultilevel"/>
    <w:tmpl w:val="1A965F62"/>
    <w:lvl w:ilvl="0" w:tplc="3756420E">
      <w:numFmt w:val="bullet"/>
      <w:lvlText w:val="-"/>
      <w:lvlJc w:val="left"/>
      <w:pPr>
        <w:ind w:left="720" w:hanging="360"/>
      </w:pPr>
      <w:rPr>
        <w:rFonts w:ascii="Times New Roman" w:eastAsia="Calibri" w:hAnsi="Times New Roman" w:cs="Times New Roman" w:hint="default"/>
        <w:color w:val="1F497D"/>
      </w:rPr>
    </w:lvl>
    <w:lvl w:ilvl="1" w:tplc="8B0CCAEC">
      <w:start w:val="1"/>
      <w:numFmt w:val="bullet"/>
      <w:lvlText w:val="o"/>
      <w:lvlJc w:val="left"/>
      <w:pPr>
        <w:ind w:left="1440" w:hanging="360"/>
      </w:pPr>
      <w:rPr>
        <w:rFonts w:ascii="Courier New" w:hAnsi="Courier New" w:cs="Courier New" w:hint="default"/>
      </w:rPr>
    </w:lvl>
    <w:lvl w:ilvl="2" w:tplc="6E42493A">
      <w:start w:val="1"/>
      <w:numFmt w:val="bullet"/>
      <w:lvlText w:val=""/>
      <w:lvlJc w:val="left"/>
      <w:pPr>
        <w:ind w:left="2160" w:hanging="360"/>
      </w:pPr>
      <w:rPr>
        <w:rFonts w:ascii="Wingdings" w:hAnsi="Wingdings" w:hint="default"/>
      </w:rPr>
    </w:lvl>
    <w:lvl w:ilvl="3" w:tplc="85E671FC">
      <w:start w:val="1"/>
      <w:numFmt w:val="bullet"/>
      <w:lvlText w:val=""/>
      <w:lvlJc w:val="left"/>
      <w:pPr>
        <w:ind w:left="2880" w:hanging="360"/>
      </w:pPr>
      <w:rPr>
        <w:rFonts w:ascii="Symbol" w:hAnsi="Symbol" w:hint="default"/>
      </w:rPr>
    </w:lvl>
    <w:lvl w:ilvl="4" w:tplc="3210E22A">
      <w:start w:val="1"/>
      <w:numFmt w:val="bullet"/>
      <w:lvlText w:val="o"/>
      <w:lvlJc w:val="left"/>
      <w:pPr>
        <w:ind w:left="3600" w:hanging="360"/>
      </w:pPr>
      <w:rPr>
        <w:rFonts w:ascii="Courier New" w:hAnsi="Courier New" w:cs="Courier New" w:hint="default"/>
      </w:rPr>
    </w:lvl>
    <w:lvl w:ilvl="5" w:tplc="17BE1C98">
      <w:start w:val="1"/>
      <w:numFmt w:val="bullet"/>
      <w:lvlText w:val=""/>
      <w:lvlJc w:val="left"/>
      <w:pPr>
        <w:ind w:left="4320" w:hanging="360"/>
      </w:pPr>
      <w:rPr>
        <w:rFonts w:ascii="Wingdings" w:hAnsi="Wingdings" w:hint="default"/>
      </w:rPr>
    </w:lvl>
    <w:lvl w:ilvl="6" w:tplc="462ED282">
      <w:start w:val="1"/>
      <w:numFmt w:val="bullet"/>
      <w:lvlText w:val=""/>
      <w:lvlJc w:val="left"/>
      <w:pPr>
        <w:ind w:left="5040" w:hanging="360"/>
      </w:pPr>
      <w:rPr>
        <w:rFonts w:ascii="Symbol" w:hAnsi="Symbol" w:hint="default"/>
      </w:rPr>
    </w:lvl>
    <w:lvl w:ilvl="7" w:tplc="484CED3E">
      <w:start w:val="1"/>
      <w:numFmt w:val="bullet"/>
      <w:lvlText w:val="o"/>
      <w:lvlJc w:val="left"/>
      <w:pPr>
        <w:ind w:left="5760" w:hanging="360"/>
      </w:pPr>
      <w:rPr>
        <w:rFonts w:ascii="Courier New" w:hAnsi="Courier New" w:cs="Courier New" w:hint="default"/>
      </w:rPr>
    </w:lvl>
    <w:lvl w:ilvl="8" w:tplc="2014292A">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8BA2471A">
      <w:start w:val="1"/>
      <w:numFmt w:val="bullet"/>
      <w:lvlText w:val=""/>
      <w:lvlJc w:val="left"/>
      <w:pPr>
        <w:ind w:left="720" w:hanging="360"/>
      </w:pPr>
      <w:rPr>
        <w:rFonts w:ascii="Symbol" w:hAnsi="Symbol" w:hint="default"/>
      </w:rPr>
    </w:lvl>
    <w:lvl w:ilvl="1" w:tplc="01FC7514" w:tentative="1">
      <w:start w:val="1"/>
      <w:numFmt w:val="bullet"/>
      <w:lvlText w:val="o"/>
      <w:lvlJc w:val="left"/>
      <w:pPr>
        <w:ind w:left="1440" w:hanging="360"/>
      </w:pPr>
      <w:rPr>
        <w:rFonts w:ascii="Courier New" w:hAnsi="Courier New" w:cs="Courier New" w:hint="default"/>
      </w:rPr>
    </w:lvl>
    <w:lvl w:ilvl="2" w:tplc="E4FC3254" w:tentative="1">
      <w:start w:val="1"/>
      <w:numFmt w:val="bullet"/>
      <w:lvlText w:val=""/>
      <w:lvlJc w:val="left"/>
      <w:pPr>
        <w:ind w:left="2160" w:hanging="360"/>
      </w:pPr>
      <w:rPr>
        <w:rFonts w:ascii="Wingdings" w:hAnsi="Wingdings" w:hint="default"/>
      </w:rPr>
    </w:lvl>
    <w:lvl w:ilvl="3" w:tplc="1D42ED4C" w:tentative="1">
      <w:start w:val="1"/>
      <w:numFmt w:val="bullet"/>
      <w:lvlText w:val=""/>
      <w:lvlJc w:val="left"/>
      <w:pPr>
        <w:ind w:left="2880" w:hanging="360"/>
      </w:pPr>
      <w:rPr>
        <w:rFonts w:ascii="Symbol" w:hAnsi="Symbol" w:hint="default"/>
      </w:rPr>
    </w:lvl>
    <w:lvl w:ilvl="4" w:tplc="0C80D4BC" w:tentative="1">
      <w:start w:val="1"/>
      <w:numFmt w:val="bullet"/>
      <w:lvlText w:val="o"/>
      <w:lvlJc w:val="left"/>
      <w:pPr>
        <w:ind w:left="3600" w:hanging="360"/>
      </w:pPr>
      <w:rPr>
        <w:rFonts w:ascii="Courier New" w:hAnsi="Courier New" w:cs="Courier New" w:hint="default"/>
      </w:rPr>
    </w:lvl>
    <w:lvl w:ilvl="5" w:tplc="B6A44144" w:tentative="1">
      <w:start w:val="1"/>
      <w:numFmt w:val="bullet"/>
      <w:lvlText w:val=""/>
      <w:lvlJc w:val="left"/>
      <w:pPr>
        <w:ind w:left="4320" w:hanging="360"/>
      </w:pPr>
      <w:rPr>
        <w:rFonts w:ascii="Wingdings" w:hAnsi="Wingdings" w:hint="default"/>
      </w:rPr>
    </w:lvl>
    <w:lvl w:ilvl="6" w:tplc="3F3C2CF6" w:tentative="1">
      <w:start w:val="1"/>
      <w:numFmt w:val="bullet"/>
      <w:lvlText w:val=""/>
      <w:lvlJc w:val="left"/>
      <w:pPr>
        <w:ind w:left="5040" w:hanging="360"/>
      </w:pPr>
      <w:rPr>
        <w:rFonts w:ascii="Symbol" w:hAnsi="Symbol" w:hint="default"/>
      </w:rPr>
    </w:lvl>
    <w:lvl w:ilvl="7" w:tplc="637AD640" w:tentative="1">
      <w:start w:val="1"/>
      <w:numFmt w:val="bullet"/>
      <w:lvlText w:val="o"/>
      <w:lvlJc w:val="left"/>
      <w:pPr>
        <w:ind w:left="5760" w:hanging="360"/>
      </w:pPr>
      <w:rPr>
        <w:rFonts w:ascii="Courier New" w:hAnsi="Courier New" w:cs="Courier New" w:hint="default"/>
      </w:rPr>
    </w:lvl>
    <w:lvl w:ilvl="8" w:tplc="E606FDAC"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933A8CB0">
      <w:start w:val="1"/>
      <w:numFmt w:val="bullet"/>
      <w:lvlText w:val=""/>
      <w:lvlJc w:val="left"/>
      <w:pPr>
        <w:ind w:left="720" w:hanging="360"/>
      </w:pPr>
      <w:rPr>
        <w:rFonts w:ascii="Symbol" w:hAnsi="Symbol" w:hint="default"/>
      </w:rPr>
    </w:lvl>
    <w:lvl w:ilvl="1" w:tplc="A38A81A0" w:tentative="1">
      <w:start w:val="1"/>
      <w:numFmt w:val="bullet"/>
      <w:lvlText w:val="o"/>
      <w:lvlJc w:val="left"/>
      <w:pPr>
        <w:ind w:left="1440" w:hanging="360"/>
      </w:pPr>
      <w:rPr>
        <w:rFonts w:ascii="Courier New" w:hAnsi="Courier New" w:cs="Courier New" w:hint="default"/>
      </w:rPr>
    </w:lvl>
    <w:lvl w:ilvl="2" w:tplc="6F487A90" w:tentative="1">
      <w:start w:val="1"/>
      <w:numFmt w:val="bullet"/>
      <w:lvlText w:val=""/>
      <w:lvlJc w:val="left"/>
      <w:pPr>
        <w:ind w:left="2160" w:hanging="360"/>
      </w:pPr>
      <w:rPr>
        <w:rFonts w:ascii="Wingdings" w:hAnsi="Wingdings" w:hint="default"/>
      </w:rPr>
    </w:lvl>
    <w:lvl w:ilvl="3" w:tplc="86C4B572" w:tentative="1">
      <w:start w:val="1"/>
      <w:numFmt w:val="bullet"/>
      <w:lvlText w:val=""/>
      <w:lvlJc w:val="left"/>
      <w:pPr>
        <w:ind w:left="2880" w:hanging="360"/>
      </w:pPr>
      <w:rPr>
        <w:rFonts w:ascii="Symbol" w:hAnsi="Symbol" w:hint="default"/>
      </w:rPr>
    </w:lvl>
    <w:lvl w:ilvl="4" w:tplc="7B70ED26" w:tentative="1">
      <w:start w:val="1"/>
      <w:numFmt w:val="bullet"/>
      <w:lvlText w:val="o"/>
      <w:lvlJc w:val="left"/>
      <w:pPr>
        <w:ind w:left="3600" w:hanging="360"/>
      </w:pPr>
      <w:rPr>
        <w:rFonts w:ascii="Courier New" w:hAnsi="Courier New" w:cs="Courier New" w:hint="default"/>
      </w:rPr>
    </w:lvl>
    <w:lvl w:ilvl="5" w:tplc="7E06405A" w:tentative="1">
      <w:start w:val="1"/>
      <w:numFmt w:val="bullet"/>
      <w:lvlText w:val=""/>
      <w:lvlJc w:val="left"/>
      <w:pPr>
        <w:ind w:left="4320" w:hanging="360"/>
      </w:pPr>
      <w:rPr>
        <w:rFonts w:ascii="Wingdings" w:hAnsi="Wingdings" w:hint="default"/>
      </w:rPr>
    </w:lvl>
    <w:lvl w:ilvl="6" w:tplc="1D8035EA" w:tentative="1">
      <w:start w:val="1"/>
      <w:numFmt w:val="bullet"/>
      <w:lvlText w:val=""/>
      <w:lvlJc w:val="left"/>
      <w:pPr>
        <w:ind w:left="5040" w:hanging="360"/>
      </w:pPr>
      <w:rPr>
        <w:rFonts w:ascii="Symbol" w:hAnsi="Symbol" w:hint="default"/>
      </w:rPr>
    </w:lvl>
    <w:lvl w:ilvl="7" w:tplc="A0B6E8AE" w:tentative="1">
      <w:start w:val="1"/>
      <w:numFmt w:val="bullet"/>
      <w:lvlText w:val="o"/>
      <w:lvlJc w:val="left"/>
      <w:pPr>
        <w:ind w:left="5760" w:hanging="360"/>
      </w:pPr>
      <w:rPr>
        <w:rFonts w:ascii="Courier New" w:hAnsi="Courier New" w:cs="Courier New" w:hint="default"/>
      </w:rPr>
    </w:lvl>
    <w:lvl w:ilvl="8" w:tplc="E6588496"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D738F9DA">
      <w:start w:val="1"/>
      <w:numFmt w:val="bullet"/>
      <w:lvlText w:val=""/>
      <w:lvlJc w:val="left"/>
      <w:pPr>
        <w:ind w:left="804" w:hanging="360"/>
      </w:pPr>
      <w:rPr>
        <w:rFonts w:ascii="Symbol" w:hAnsi="Symbol" w:hint="default"/>
      </w:rPr>
    </w:lvl>
    <w:lvl w:ilvl="1" w:tplc="C99AC82C" w:tentative="1">
      <w:start w:val="1"/>
      <w:numFmt w:val="bullet"/>
      <w:lvlText w:val="o"/>
      <w:lvlJc w:val="left"/>
      <w:pPr>
        <w:ind w:left="1524" w:hanging="360"/>
      </w:pPr>
      <w:rPr>
        <w:rFonts w:ascii="Courier New" w:hAnsi="Courier New" w:cs="Courier New" w:hint="default"/>
      </w:rPr>
    </w:lvl>
    <w:lvl w:ilvl="2" w:tplc="E348DCE6" w:tentative="1">
      <w:start w:val="1"/>
      <w:numFmt w:val="bullet"/>
      <w:lvlText w:val=""/>
      <w:lvlJc w:val="left"/>
      <w:pPr>
        <w:ind w:left="2244" w:hanging="360"/>
      </w:pPr>
      <w:rPr>
        <w:rFonts w:ascii="Wingdings" w:hAnsi="Wingdings" w:hint="default"/>
      </w:rPr>
    </w:lvl>
    <w:lvl w:ilvl="3" w:tplc="1D36E66A" w:tentative="1">
      <w:start w:val="1"/>
      <w:numFmt w:val="bullet"/>
      <w:lvlText w:val=""/>
      <w:lvlJc w:val="left"/>
      <w:pPr>
        <w:ind w:left="2964" w:hanging="360"/>
      </w:pPr>
      <w:rPr>
        <w:rFonts w:ascii="Symbol" w:hAnsi="Symbol" w:hint="default"/>
      </w:rPr>
    </w:lvl>
    <w:lvl w:ilvl="4" w:tplc="17C2BA0C" w:tentative="1">
      <w:start w:val="1"/>
      <w:numFmt w:val="bullet"/>
      <w:lvlText w:val="o"/>
      <w:lvlJc w:val="left"/>
      <w:pPr>
        <w:ind w:left="3684" w:hanging="360"/>
      </w:pPr>
      <w:rPr>
        <w:rFonts w:ascii="Courier New" w:hAnsi="Courier New" w:cs="Courier New" w:hint="default"/>
      </w:rPr>
    </w:lvl>
    <w:lvl w:ilvl="5" w:tplc="D8E6A138" w:tentative="1">
      <w:start w:val="1"/>
      <w:numFmt w:val="bullet"/>
      <w:lvlText w:val=""/>
      <w:lvlJc w:val="left"/>
      <w:pPr>
        <w:ind w:left="4404" w:hanging="360"/>
      </w:pPr>
      <w:rPr>
        <w:rFonts w:ascii="Wingdings" w:hAnsi="Wingdings" w:hint="default"/>
      </w:rPr>
    </w:lvl>
    <w:lvl w:ilvl="6" w:tplc="7682F966" w:tentative="1">
      <w:start w:val="1"/>
      <w:numFmt w:val="bullet"/>
      <w:lvlText w:val=""/>
      <w:lvlJc w:val="left"/>
      <w:pPr>
        <w:ind w:left="5124" w:hanging="360"/>
      </w:pPr>
      <w:rPr>
        <w:rFonts w:ascii="Symbol" w:hAnsi="Symbol" w:hint="default"/>
      </w:rPr>
    </w:lvl>
    <w:lvl w:ilvl="7" w:tplc="45EA6FE8" w:tentative="1">
      <w:start w:val="1"/>
      <w:numFmt w:val="bullet"/>
      <w:lvlText w:val="o"/>
      <w:lvlJc w:val="left"/>
      <w:pPr>
        <w:ind w:left="5844" w:hanging="360"/>
      </w:pPr>
      <w:rPr>
        <w:rFonts w:ascii="Courier New" w:hAnsi="Courier New" w:cs="Courier New" w:hint="default"/>
      </w:rPr>
    </w:lvl>
    <w:lvl w:ilvl="8" w:tplc="9CEA61B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57C077C">
      <w:start w:val="1"/>
      <w:numFmt w:val="bullet"/>
      <w:lvlText w:val=""/>
      <w:lvlJc w:val="left"/>
      <w:pPr>
        <w:ind w:left="804" w:hanging="360"/>
      </w:pPr>
      <w:rPr>
        <w:rFonts w:ascii="Wingdings" w:hAnsi="Wingdings" w:hint="default"/>
      </w:rPr>
    </w:lvl>
    <w:lvl w:ilvl="1" w:tplc="78D4CF12" w:tentative="1">
      <w:start w:val="1"/>
      <w:numFmt w:val="bullet"/>
      <w:lvlText w:val="o"/>
      <w:lvlJc w:val="left"/>
      <w:pPr>
        <w:ind w:left="1524" w:hanging="360"/>
      </w:pPr>
      <w:rPr>
        <w:rFonts w:ascii="Courier New" w:hAnsi="Courier New" w:cs="Courier New" w:hint="default"/>
      </w:rPr>
    </w:lvl>
    <w:lvl w:ilvl="2" w:tplc="8F5A1B82" w:tentative="1">
      <w:start w:val="1"/>
      <w:numFmt w:val="bullet"/>
      <w:lvlText w:val=""/>
      <w:lvlJc w:val="left"/>
      <w:pPr>
        <w:ind w:left="2244" w:hanging="360"/>
      </w:pPr>
      <w:rPr>
        <w:rFonts w:ascii="Wingdings" w:hAnsi="Wingdings" w:hint="default"/>
      </w:rPr>
    </w:lvl>
    <w:lvl w:ilvl="3" w:tplc="C3506CB4" w:tentative="1">
      <w:start w:val="1"/>
      <w:numFmt w:val="bullet"/>
      <w:lvlText w:val=""/>
      <w:lvlJc w:val="left"/>
      <w:pPr>
        <w:ind w:left="2964" w:hanging="360"/>
      </w:pPr>
      <w:rPr>
        <w:rFonts w:ascii="Symbol" w:hAnsi="Symbol" w:hint="default"/>
      </w:rPr>
    </w:lvl>
    <w:lvl w:ilvl="4" w:tplc="BEE61422" w:tentative="1">
      <w:start w:val="1"/>
      <w:numFmt w:val="bullet"/>
      <w:lvlText w:val="o"/>
      <w:lvlJc w:val="left"/>
      <w:pPr>
        <w:ind w:left="3684" w:hanging="360"/>
      </w:pPr>
      <w:rPr>
        <w:rFonts w:ascii="Courier New" w:hAnsi="Courier New" w:cs="Courier New" w:hint="default"/>
      </w:rPr>
    </w:lvl>
    <w:lvl w:ilvl="5" w:tplc="D3027DCA" w:tentative="1">
      <w:start w:val="1"/>
      <w:numFmt w:val="bullet"/>
      <w:lvlText w:val=""/>
      <w:lvlJc w:val="left"/>
      <w:pPr>
        <w:ind w:left="4404" w:hanging="360"/>
      </w:pPr>
      <w:rPr>
        <w:rFonts w:ascii="Wingdings" w:hAnsi="Wingdings" w:hint="default"/>
      </w:rPr>
    </w:lvl>
    <w:lvl w:ilvl="6" w:tplc="1A2C4A52" w:tentative="1">
      <w:start w:val="1"/>
      <w:numFmt w:val="bullet"/>
      <w:lvlText w:val=""/>
      <w:lvlJc w:val="left"/>
      <w:pPr>
        <w:ind w:left="5124" w:hanging="360"/>
      </w:pPr>
      <w:rPr>
        <w:rFonts w:ascii="Symbol" w:hAnsi="Symbol" w:hint="default"/>
      </w:rPr>
    </w:lvl>
    <w:lvl w:ilvl="7" w:tplc="AC20FB74" w:tentative="1">
      <w:start w:val="1"/>
      <w:numFmt w:val="bullet"/>
      <w:lvlText w:val="o"/>
      <w:lvlJc w:val="left"/>
      <w:pPr>
        <w:ind w:left="5844" w:hanging="360"/>
      </w:pPr>
      <w:rPr>
        <w:rFonts w:ascii="Courier New" w:hAnsi="Courier New" w:cs="Courier New" w:hint="default"/>
      </w:rPr>
    </w:lvl>
    <w:lvl w:ilvl="8" w:tplc="4DA6410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CB94A676">
      <w:start w:val="1"/>
      <w:numFmt w:val="bullet"/>
      <w:lvlText w:val=""/>
      <w:lvlJc w:val="left"/>
      <w:pPr>
        <w:ind w:left="1080" w:hanging="360"/>
      </w:pPr>
      <w:rPr>
        <w:rFonts w:ascii="Symbol" w:hAnsi="Symbol" w:hint="default"/>
      </w:rPr>
    </w:lvl>
    <w:lvl w:ilvl="1" w:tplc="9FD890FE" w:tentative="1">
      <w:start w:val="1"/>
      <w:numFmt w:val="bullet"/>
      <w:lvlText w:val="o"/>
      <w:lvlJc w:val="left"/>
      <w:pPr>
        <w:ind w:left="1800" w:hanging="360"/>
      </w:pPr>
      <w:rPr>
        <w:rFonts w:ascii="Courier New" w:hAnsi="Courier New" w:cs="Courier New" w:hint="default"/>
      </w:rPr>
    </w:lvl>
    <w:lvl w:ilvl="2" w:tplc="CE0408F2" w:tentative="1">
      <w:start w:val="1"/>
      <w:numFmt w:val="bullet"/>
      <w:lvlText w:val=""/>
      <w:lvlJc w:val="left"/>
      <w:pPr>
        <w:ind w:left="2520" w:hanging="360"/>
      </w:pPr>
      <w:rPr>
        <w:rFonts w:ascii="Wingdings" w:hAnsi="Wingdings" w:hint="default"/>
      </w:rPr>
    </w:lvl>
    <w:lvl w:ilvl="3" w:tplc="858E3DFE" w:tentative="1">
      <w:start w:val="1"/>
      <w:numFmt w:val="bullet"/>
      <w:lvlText w:val=""/>
      <w:lvlJc w:val="left"/>
      <w:pPr>
        <w:ind w:left="3240" w:hanging="360"/>
      </w:pPr>
      <w:rPr>
        <w:rFonts w:ascii="Symbol" w:hAnsi="Symbol" w:hint="default"/>
      </w:rPr>
    </w:lvl>
    <w:lvl w:ilvl="4" w:tplc="B6D0DF98" w:tentative="1">
      <w:start w:val="1"/>
      <w:numFmt w:val="bullet"/>
      <w:lvlText w:val="o"/>
      <w:lvlJc w:val="left"/>
      <w:pPr>
        <w:ind w:left="3960" w:hanging="360"/>
      </w:pPr>
      <w:rPr>
        <w:rFonts w:ascii="Courier New" w:hAnsi="Courier New" w:cs="Courier New" w:hint="default"/>
      </w:rPr>
    </w:lvl>
    <w:lvl w:ilvl="5" w:tplc="5312365E" w:tentative="1">
      <w:start w:val="1"/>
      <w:numFmt w:val="bullet"/>
      <w:lvlText w:val=""/>
      <w:lvlJc w:val="left"/>
      <w:pPr>
        <w:ind w:left="4680" w:hanging="360"/>
      </w:pPr>
      <w:rPr>
        <w:rFonts w:ascii="Wingdings" w:hAnsi="Wingdings" w:hint="default"/>
      </w:rPr>
    </w:lvl>
    <w:lvl w:ilvl="6" w:tplc="2D52F360" w:tentative="1">
      <w:start w:val="1"/>
      <w:numFmt w:val="bullet"/>
      <w:lvlText w:val=""/>
      <w:lvlJc w:val="left"/>
      <w:pPr>
        <w:ind w:left="5400" w:hanging="360"/>
      </w:pPr>
      <w:rPr>
        <w:rFonts w:ascii="Symbol" w:hAnsi="Symbol" w:hint="default"/>
      </w:rPr>
    </w:lvl>
    <w:lvl w:ilvl="7" w:tplc="2A903770" w:tentative="1">
      <w:start w:val="1"/>
      <w:numFmt w:val="bullet"/>
      <w:lvlText w:val="o"/>
      <w:lvlJc w:val="left"/>
      <w:pPr>
        <w:ind w:left="6120" w:hanging="360"/>
      </w:pPr>
      <w:rPr>
        <w:rFonts w:ascii="Courier New" w:hAnsi="Courier New" w:cs="Courier New" w:hint="default"/>
      </w:rPr>
    </w:lvl>
    <w:lvl w:ilvl="8" w:tplc="421C833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4B21172">
      <w:start w:val="1"/>
      <w:numFmt w:val="bullet"/>
      <w:lvlText w:val=""/>
      <w:lvlJc w:val="left"/>
      <w:pPr>
        <w:ind w:left="720" w:hanging="360"/>
      </w:pPr>
      <w:rPr>
        <w:rFonts w:ascii="Symbol" w:hAnsi="Symbol" w:hint="default"/>
      </w:rPr>
    </w:lvl>
    <w:lvl w:ilvl="1" w:tplc="AFE8E1AE" w:tentative="1">
      <w:start w:val="1"/>
      <w:numFmt w:val="bullet"/>
      <w:lvlText w:val="o"/>
      <w:lvlJc w:val="left"/>
      <w:pPr>
        <w:ind w:left="1440" w:hanging="360"/>
      </w:pPr>
      <w:rPr>
        <w:rFonts w:ascii="Courier New" w:hAnsi="Courier New" w:cs="Courier New" w:hint="default"/>
      </w:rPr>
    </w:lvl>
    <w:lvl w:ilvl="2" w:tplc="7274672C" w:tentative="1">
      <w:start w:val="1"/>
      <w:numFmt w:val="bullet"/>
      <w:lvlText w:val=""/>
      <w:lvlJc w:val="left"/>
      <w:pPr>
        <w:ind w:left="2160" w:hanging="360"/>
      </w:pPr>
      <w:rPr>
        <w:rFonts w:ascii="Wingdings" w:hAnsi="Wingdings" w:hint="default"/>
      </w:rPr>
    </w:lvl>
    <w:lvl w:ilvl="3" w:tplc="7B7A8C3A" w:tentative="1">
      <w:start w:val="1"/>
      <w:numFmt w:val="bullet"/>
      <w:lvlText w:val=""/>
      <w:lvlJc w:val="left"/>
      <w:pPr>
        <w:ind w:left="2880" w:hanging="360"/>
      </w:pPr>
      <w:rPr>
        <w:rFonts w:ascii="Symbol" w:hAnsi="Symbol" w:hint="default"/>
      </w:rPr>
    </w:lvl>
    <w:lvl w:ilvl="4" w:tplc="04266B18" w:tentative="1">
      <w:start w:val="1"/>
      <w:numFmt w:val="bullet"/>
      <w:lvlText w:val="o"/>
      <w:lvlJc w:val="left"/>
      <w:pPr>
        <w:ind w:left="3600" w:hanging="360"/>
      </w:pPr>
      <w:rPr>
        <w:rFonts w:ascii="Courier New" w:hAnsi="Courier New" w:cs="Courier New" w:hint="default"/>
      </w:rPr>
    </w:lvl>
    <w:lvl w:ilvl="5" w:tplc="EAA8E46C" w:tentative="1">
      <w:start w:val="1"/>
      <w:numFmt w:val="bullet"/>
      <w:lvlText w:val=""/>
      <w:lvlJc w:val="left"/>
      <w:pPr>
        <w:ind w:left="4320" w:hanging="360"/>
      </w:pPr>
      <w:rPr>
        <w:rFonts w:ascii="Wingdings" w:hAnsi="Wingdings" w:hint="default"/>
      </w:rPr>
    </w:lvl>
    <w:lvl w:ilvl="6" w:tplc="CA3A8968" w:tentative="1">
      <w:start w:val="1"/>
      <w:numFmt w:val="bullet"/>
      <w:lvlText w:val=""/>
      <w:lvlJc w:val="left"/>
      <w:pPr>
        <w:ind w:left="5040" w:hanging="360"/>
      </w:pPr>
      <w:rPr>
        <w:rFonts w:ascii="Symbol" w:hAnsi="Symbol" w:hint="default"/>
      </w:rPr>
    </w:lvl>
    <w:lvl w:ilvl="7" w:tplc="D2C69EE0" w:tentative="1">
      <w:start w:val="1"/>
      <w:numFmt w:val="bullet"/>
      <w:lvlText w:val="o"/>
      <w:lvlJc w:val="left"/>
      <w:pPr>
        <w:ind w:left="5760" w:hanging="360"/>
      </w:pPr>
      <w:rPr>
        <w:rFonts w:ascii="Courier New" w:hAnsi="Courier New" w:cs="Courier New" w:hint="default"/>
      </w:rPr>
    </w:lvl>
    <w:lvl w:ilvl="8" w:tplc="829E5C2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468A9436">
      <w:start w:val="1"/>
      <w:numFmt w:val="bullet"/>
      <w:lvlText w:val=""/>
      <w:lvlJc w:val="left"/>
      <w:pPr>
        <w:ind w:left="720" w:hanging="360"/>
      </w:pPr>
      <w:rPr>
        <w:rFonts w:ascii="Symbol" w:hAnsi="Symbol" w:hint="default"/>
      </w:rPr>
    </w:lvl>
    <w:lvl w:ilvl="1" w:tplc="57A85EB8" w:tentative="1">
      <w:start w:val="1"/>
      <w:numFmt w:val="bullet"/>
      <w:lvlText w:val="o"/>
      <w:lvlJc w:val="left"/>
      <w:pPr>
        <w:ind w:left="1440" w:hanging="360"/>
      </w:pPr>
      <w:rPr>
        <w:rFonts w:ascii="Courier New" w:hAnsi="Courier New" w:cs="Courier New" w:hint="default"/>
      </w:rPr>
    </w:lvl>
    <w:lvl w:ilvl="2" w:tplc="4B627580" w:tentative="1">
      <w:start w:val="1"/>
      <w:numFmt w:val="bullet"/>
      <w:lvlText w:val=""/>
      <w:lvlJc w:val="left"/>
      <w:pPr>
        <w:ind w:left="2160" w:hanging="360"/>
      </w:pPr>
      <w:rPr>
        <w:rFonts w:ascii="Wingdings" w:hAnsi="Wingdings" w:hint="default"/>
      </w:rPr>
    </w:lvl>
    <w:lvl w:ilvl="3" w:tplc="545A66F6" w:tentative="1">
      <w:start w:val="1"/>
      <w:numFmt w:val="bullet"/>
      <w:lvlText w:val=""/>
      <w:lvlJc w:val="left"/>
      <w:pPr>
        <w:ind w:left="2880" w:hanging="360"/>
      </w:pPr>
      <w:rPr>
        <w:rFonts w:ascii="Symbol" w:hAnsi="Symbol" w:hint="default"/>
      </w:rPr>
    </w:lvl>
    <w:lvl w:ilvl="4" w:tplc="7D1E80F6" w:tentative="1">
      <w:start w:val="1"/>
      <w:numFmt w:val="bullet"/>
      <w:lvlText w:val="o"/>
      <w:lvlJc w:val="left"/>
      <w:pPr>
        <w:ind w:left="3600" w:hanging="360"/>
      </w:pPr>
      <w:rPr>
        <w:rFonts w:ascii="Courier New" w:hAnsi="Courier New" w:cs="Courier New" w:hint="default"/>
      </w:rPr>
    </w:lvl>
    <w:lvl w:ilvl="5" w:tplc="D57C87D4" w:tentative="1">
      <w:start w:val="1"/>
      <w:numFmt w:val="bullet"/>
      <w:lvlText w:val=""/>
      <w:lvlJc w:val="left"/>
      <w:pPr>
        <w:ind w:left="4320" w:hanging="360"/>
      </w:pPr>
      <w:rPr>
        <w:rFonts w:ascii="Wingdings" w:hAnsi="Wingdings" w:hint="default"/>
      </w:rPr>
    </w:lvl>
    <w:lvl w:ilvl="6" w:tplc="40CE8D84" w:tentative="1">
      <w:start w:val="1"/>
      <w:numFmt w:val="bullet"/>
      <w:lvlText w:val=""/>
      <w:lvlJc w:val="left"/>
      <w:pPr>
        <w:ind w:left="5040" w:hanging="360"/>
      </w:pPr>
      <w:rPr>
        <w:rFonts w:ascii="Symbol" w:hAnsi="Symbol" w:hint="default"/>
      </w:rPr>
    </w:lvl>
    <w:lvl w:ilvl="7" w:tplc="99E0CE24" w:tentative="1">
      <w:start w:val="1"/>
      <w:numFmt w:val="bullet"/>
      <w:lvlText w:val="o"/>
      <w:lvlJc w:val="left"/>
      <w:pPr>
        <w:ind w:left="5760" w:hanging="360"/>
      </w:pPr>
      <w:rPr>
        <w:rFonts w:ascii="Courier New" w:hAnsi="Courier New" w:cs="Courier New" w:hint="default"/>
      </w:rPr>
    </w:lvl>
    <w:lvl w:ilvl="8" w:tplc="D624BFA6" w:tentative="1">
      <w:start w:val="1"/>
      <w:numFmt w:val="bullet"/>
      <w:lvlText w:val=""/>
      <w:lvlJc w:val="left"/>
      <w:pPr>
        <w:ind w:left="6480" w:hanging="360"/>
      </w:pPr>
      <w:rPr>
        <w:rFonts w:ascii="Wingdings" w:hAnsi="Wingdings" w:hint="default"/>
      </w:rPr>
    </w:lvl>
  </w:abstractNum>
  <w:abstractNum w:abstractNumId="10" w15:restartNumberingAfterBreak="0">
    <w:nsid w:val="34820D8D"/>
    <w:multiLevelType w:val="hybridMultilevel"/>
    <w:tmpl w:val="45DC7B6C"/>
    <w:lvl w:ilvl="0" w:tplc="D916D238">
      <w:start w:val="1"/>
      <w:numFmt w:val="bullet"/>
      <w:lvlText w:val=""/>
      <w:lvlJc w:val="left"/>
      <w:pPr>
        <w:ind w:left="1440" w:hanging="360"/>
      </w:pPr>
      <w:rPr>
        <w:rFonts w:ascii="Symbol" w:hAnsi="Symbol" w:hint="default"/>
      </w:rPr>
    </w:lvl>
    <w:lvl w:ilvl="1" w:tplc="44281A64">
      <w:start w:val="1"/>
      <w:numFmt w:val="bullet"/>
      <w:lvlText w:val=""/>
      <w:lvlJc w:val="left"/>
      <w:pPr>
        <w:ind w:left="2160" w:hanging="360"/>
      </w:pPr>
      <w:rPr>
        <w:rFonts w:ascii="Wingdings" w:hAnsi="Wingdings" w:hint="default"/>
      </w:rPr>
    </w:lvl>
    <w:lvl w:ilvl="2" w:tplc="BD5A9A2A">
      <w:start w:val="1"/>
      <w:numFmt w:val="bullet"/>
      <w:lvlText w:val=""/>
      <w:lvlJc w:val="left"/>
      <w:pPr>
        <w:ind w:left="2880" w:hanging="360"/>
      </w:pPr>
      <w:rPr>
        <w:rFonts w:ascii="Wingdings" w:hAnsi="Wingdings" w:hint="default"/>
      </w:rPr>
    </w:lvl>
    <w:lvl w:ilvl="3" w:tplc="C2BC55BA">
      <w:start w:val="1"/>
      <w:numFmt w:val="bullet"/>
      <w:lvlText w:val=""/>
      <w:lvlJc w:val="left"/>
      <w:pPr>
        <w:ind w:left="3600" w:hanging="360"/>
      </w:pPr>
      <w:rPr>
        <w:rFonts w:ascii="Symbol" w:hAnsi="Symbol" w:hint="default"/>
      </w:rPr>
    </w:lvl>
    <w:lvl w:ilvl="4" w:tplc="582E5306">
      <w:start w:val="1"/>
      <w:numFmt w:val="bullet"/>
      <w:lvlText w:val="o"/>
      <w:lvlJc w:val="left"/>
      <w:pPr>
        <w:ind w:left="4320" w:hanging="360"/>
      </w:pPr>
      <w:rPr>
        <w:rFonts w:ascii="Courier New" w:hAnsi="Courier New" w:cs="Courier New" w:hint="default"/>
      </w:rPr>
    </w:lvl>
    <w:lvl w:ilvl="5" w:tplc="A4C4900C">
      <w:start w:val="1"/>
      <w:numFmt w:val="bullet"/>
      <w:lvlText w:val=""/>
      <w:lvlJc w:val="left"/>
      <w:pPr>
        <w:ind w:left="5040" w:hanging="360"/>
      </w:pPr>
      <w:rPr>
        <w:rFonts w:ascii="Wingdings" w:hAnsi="Wingdings" w:hint="default"/>
      </w:rPr>
    </w:lvl>
    <w:lvl w:ilvl="6" w:tplc="B8A40B26">
      <w:start w:val="1"/>
      <w:numFmt w:val="bullet"/>
      <w:lvlText w:val=""/>
      <w:lvlJc w:val="left"/>
      <w:pPr>
        <w:ind w:left="5760" w:hanging="360"/>
      </w:pPr>
      <w:rPr>
        <w:rFonts w:ascii="Symbol" w:hAnsi="Symbol" w:hint="default"/>
      </w:rPr>
    </w:lvl>
    <w:lvl w:ilvl="7" w:tplc="1C6A859C">
      <w:start w:val="1"/>
      <w:numFmt w:val="bullet"/>
      <w:lvlText w:val="o"/>
      <w:lvlJc w:val="left"/>
      <w:pPr>
        <w:ind w:left="6480" w:hanging="360"/>
      </w:pPr>
      <w:rPr>
        <w:rFonts w:ascii="Courier New" w:hAnsi="Courier New" w:cs="Courier New" w:hint="default"/>
      </w:rPr>
    </w:lvl>
    <w:lvl w:ilvl="8" w:tplc="4C2A794C">
      <w:start w:val="1"/>
      <w:numFmt w:val="bullet"/>
      <w:lvlText w:val=""/>
      <w:lvlJc w:val="left"/>
      <w:pPr>
        <w:ind w:left="7200" w:hanging="360"/>
      </w:pPr>
      <w:rPr>
        <w:rFonts w:ascii="Wingdings" w:hAnsi="Wingdings" w:hint="default"/>
      </w:rPr>
    </w:lvl>
  </w:abstractNum>
  <w:abstractNum w:abstractNumId="11" w15:restartNumberingAfterBreak="0">
    <w:nsid w:val="754A58DF"/>
    <w:multiLevelType w:val="hybridMultilevel"/>
    <w:tmpl w:val="C03EA352"/>
    <w:lvl w:ilvl="0" w:tplc="9D72B44A">
      <w:start w:val="1"/>
      <w:numFmt w:val="decimal"/>
      <w:lvlText w:val="%1)"/>
      <w:lvlJc w:val="left"/>
      <w:pPr>
        <w:ind w:left="720" w:hanging="360"/>
      </w:pPr>
      <w:rPr>
        <w:rFonts w:hint="default"/>
      </w:rPr>
    </w:lvl>
    <w:lvl w:ilvl="1" w:tplc="093CB46C" w:tentative="1">
      <w:start w:val="1"/>
      <w:numFmt w:val="lowerLetter"/>
      <w:lvlText w:val="%2."/>
      <w:lvlJc w:val="left"/>
      <w:pPr>
        <w:ind w:left="1440" w:hanging="360"/>
      </w:pPr>
    </w:lvl>
    <w:lvl w:ilvl="2" w:tplc="4A44A718" w:tentative="1">
      <w:start w:val="1"/>
      <w:numFmt w:val="lowerRoman"/>
      <w:lvlText w:val="%3."/>
      <w:lvlJc w:val="right"/>
      <w:pPr>
        <w:ind w:left="2160" w:hanging="180"/>
      </w:pPr>
    </w:lvl>
    <w:lvl w:ilvl="3" w:tplc="E486A8DC" w:tentative="1">
      <w:start w:val="1"/>
      <w:numFmt w:val="decimal"/>
      <w:lvlText w:val="%4."/>
      <w:lvlJc w:val="left"/>
      <w:pPr>
        <w:ind w:left="2880" w:hanging="360"/>
      </w:pPr>
    </w:lvl>
    <w:lvl w:ilvl="4" w:tplc="B1BCF952" w:tentative="1">
      <w:start w:val="1"/>
      <w:numFmt w:val="lowerLetter"/>
      <w:lvlText w:val="%5."/>
      <w:lvlJc w:val="left"/>
      <w:pPr>
        <w:ind w:left="3600" w:hanging="360"/>
      </w:pPr>
    </w:lvl>
    <w:lvl w:ilvl="5" w:tplc="59B28C56" w:tentative="1">
      <w:start w:val="1"/>
      <w:numFmt w:val="lowerRoman"/>
      <w:lvlText w:val="%6."/>
      <w:lvlJc w:val="right"/>
      <w:pPr>
        <w:ind w:left="4320" w:hanging="180"/>
      </w:pPr>
    </w:lvl>
    <w:lvl w:ilvl="6" w:tplc="640CA11E" w:tentative="1">
      <w:start w:val="1"/>
      <w:numFmt w:val="decimal"/>
      <w:lvlText w:val="%7."/>
      <w:lvlJc w:val="left"/>
      <w:pPr>
        <w:ind w:left="5040" w:hanging="360"/>
      </w:pPr>
    </w:lvl>
    <w:lvl w:ilvl="7" w:tplc="7B3E7122" w:tentative="1">
      <w:start w:val="1"/>
      <w:numFmt w:val="lowerLetter"/>
      <w:lvlText w:val="%8."/>
      <w:lvlJc w:val="left"/>
      <w:pPr>
        <w:ind w:left="5760" w:hanging="360"/>
      </w:pPr>
    </w:lvl>
    <w:lvl w:ilvl="8" w:tplc="AC9ED7A6"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DC0430DC">
      <w:start w:val="1"/>
      <w:numFmt w:val="bullet"/>
      <w:lvlText w:val=""/>
      <w:lvlJc w:val="left"/>
      <w:pPr>
        <w:ind w:left="804" w:hanging="360"/>
      </w:pPr>
      <w:rPr>
        <w:rFonts w:ascii="Symbol" w:hAnsi="Symbol" w:hint="default"/>
      </w:rPr>
    </w:lvl>
    <w:lvl w:ilvl="1" w:tplc="EA26765E" w:tentative="1">
      <w:start w:val="1"/>
      <w:numFmt w:val="bullet"/>
      <w:lvlText w:val="o"/>
      <w:lvlJc w:val="left"/>
      <w:pPr>
        <w:ind w:left="1524" w:hanging="360"/>
      </w:pPr>
      <w:rPr>
        <w:rFonts w:ascii="Courier New" w:hAnsi="Courier New" w:cs="Courier New" w:hint="default"/>
      </w:rPr>
    </w:lvl>
    <w:lvl w:ilvl="2" w:tplc="58A4FD16" w:tentative="1">
      <w:start w:val="1"/>
      <w:numFmt w:val="bullet"/>
      <w:lvlText w:val=""/>
      <w:lvlJc w:val="left"/>
      <w:pPr>
        <w:ind w:left="2244" w:hanging="360"/>
      </w:pPr>
      <w:rPr>
        <w:rFonts w:ascii="Wingdings" w:hAnsi="Wingdings" w:hint="default"/>
      </w:rPr>
    </w:lvl>
    <w:lvl w:ilvl="3" w:tplc="D0109ED6" w:tentative="1">
      <w:start w:val="1"/>
      <w:numFmt w:val="bullet"/>
      <w:lvlText w:val=""/>
      <w:lvlJc w:val="left"/>
      <w:pPr>
        <w:ind w:left="2964" w:hanging="360"/>
      </w:pPr>
      <w:rPr>
        <w:rFonts w:ascii="Symbol" w:hAnsi="Symbol" w:hint="default"/>
      </w:rPr>
    </w:lvl>
    <w:lvl w:ilvl="4" w:tplc="FBA8162E" w:tentative="1">
      <w:start w:val="1"/>
      <w:numFmt w:val="bullet"/>
      <w:lvlText w:val="o"/>
      <w:lvlJc w:val="left"/>
      <w:pPr>
        <w:ind w:left="3684" w:hanging="360"/>
      </w:pPr>
      <w:rPr>
        <w:rFonts w:ascii="Courier New" w:hAnsi="Courier New" w:cs="Courier New" w:hint="default"/>
      </w:rPr>
    </w:lvl>
    <w:lvl w:ilvl="5" w:tplc="4726F01C" w:tentative="1">
      <w:start w:val="1"/>
      <w:numFmt w:val="bullet"/>
      <w:lvlText w:val=""/>
      <w:lvlJc w:val="left"/>
      <w:pPr>
        <w:ind w:left="4404" w:hanging="360"/>
      </w:pPr>
      <w:rPr>
        <w:rFonts w:ascii="Wingdings" w:hAnsi="Wingdings" w:hint="default"/>
      </w:rPr>
    </w:lvl>
    <w:lvl w:ilvl="6" w:tplc="26CA9CAE" w:tentative="1">
      <w:start w:val="1"/>
      <w:numFmt w:val="bullet"/>
      <w:lvlText w:val=""/>
      <w:lvlJc w:val="left"/>
      <w:pPr>
        <w:ind w:left="5124" w:hanging="360"/>
      </w:pPr>
      <w:rPr>
        <w:rFonts w:ascii="Symbol" w:hAnsi="Symbol" w:hint="default"/>
      </w:rPr>
    </w:lvl>
    <w:lvl w:ilvl="7" w:tplc="5F908E82" w:tentative="1">
      <w:start w:val="1"/>
      <w:numFmt w:val="bullet"/>
      <w:lvlText w:val="o"/>
      <w:lvlJc w:val="left"/>
      <w:pPr>
        <w:ind w:left="5844" w:hanging="360"/>
      </w:pPr>
      <w:rPr>
        <w:rFonts w:ascii="Courier New" w:hAnsi="Courier New" w:cs="Courier New" w:hint="default"/>
      </w:rPr>
    </w:lvl>
    <w:lvl w:ilvl="8" w:tplc="930E22D8" w:tentative="1">
      <w:start w:val="1"/>
      <w:numFmt w:val="bullet"/>
      <w:lvlText w:val=""/>
      <w:lvlJc w:val="left"/>
      <w:pPr>
        <w:ind w:left="6564" w:hanging="360"/>
      </w:pPr>
      <w:rPr>
        <w:rFonts w:ascii="Wingdings" w:hAnsi="Wingdings" w:hint="default"/>
      </w:rPr>
    </w:lvl>
  </w:abstractNum>
  <w:num w:numId="1" w16cid:durableId="2092466168">
    <w:abstractNumId w:val="8"/>
  </w:num>
  <w:num w:numId="2" w16cid:durableId="1067915507">
    <w:abstractNumId w:val="9"/>
  </w:num>
  <w:num w:numId="3" w16cid:durableId="1721435821">
    <w:abstractNumId w:val="0"/>
  </w:num>
  <w:num w:numId="4" w16cid:durableId="1049458571">
    <w:abstractNumId w:val="2"/>
  </w:num>
  <w:num w:numId="5" w16cid:durableId="1166362933">
    <w:abstractNumId w:val="3"/>
  </w:num>
  <w:num w:numId="6" w16cid:durableId="1401489399">
    <w:abstractNumId w:val="7"/>
  </w:num>
  <w:num w:numId="7" w16cid:durableId="898591834">
    <w:abstractNumId w:val="4"/>
  </w:num>
  <w:num w:numId="8" w16cid:durableId="1480226166">
    <w:abstractNumId w:val="12"/>
  </w:num>
  <w:num w:numId="9" w16cid:durableId="1105346836">
    <w:abstractNumId w:val="6"/>
  </w:num>
  <w:num w:numId="10" w16cid:durableId="1920288163">
    <w:abstractNumId w:val="5"/>
  </w:num>
  <w:num w:numId="11" w16cid:durableId="597107318">
    <w:abstractNumId w:val="12"/>
  </w:num>
  <w:num w:numId="12" w16cid:durableId="1409889207">
    <w:abstractNumId w:val="6"/>
  </w:num>
  <w:num w:numId="13" w16cid:durableId="449905331">
    <w:abstractNumId w:val="1"/>
  </w:num>
  <w:num w:numId="14" w16cid:durableId="966276512">
    <w:abstractNumId w:val="11"/>
  </w:num>
  <w:num w:numId="15" w16cid:durableId="1228570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46F67"/>
    <w:rsid w:val="00051438"/>
    <w:rsid w:val="00052C2D"/>
    <w:rsid w:val="000667F2"/>
    <w:rsid w:val="00067C8C"/>
    <w:rsid w:val="000719D1"/>
    <w:rsid w:val="0007583C"/>
    <w:rsid w:val="00083723"/>
    <w:rsid w:val="000A6CFF"/>
    <w:rsid w:val="000B7112"/>
    <w:rsid w:val="000C2F77"/>
    <w:rsid w:val="000C6C0F"/>
    <w:rsid w:val="000C6F96"/>
    <w:rsid w:val="000D173B"/>
    <w:rsid w:val="000D60B6"/>
    <w:rsid w:val="000E1564"/>
    <w:rsid w:val="000E2068"/>
    <w:rsid w:val="000F232A"/>
    <w:rsid w:val="000F5CE6"/>
    <w:rsid w:val="000F761E"/>
    <w:rsid w:val="001002D7"/>
    <w:rsid w:val="0010578E"/>
    <w:rsid w:val="00116EAC"/>
    <w:rsid w:val="00120BDB"/>
    <w:rsid w:val="00126735"/>
    <w:rsid w:val="00133187"/>
    <w:rsid w:val="00133287"/>
    <w:rsid w:val="0013367A"/>
    <w:rsid w:val="00137A06"/>
    <w:rsid w:val="00142C09"/>
    <w:rsid w:val="00155DC8"/>
    <w:rsid w:val="00161F20"/>
    <w:rsid w:val="00165C38"/>
    <w:rsid w:val="00170F74"/>
    <w:rsid w:val="0017391A"/>
    <w:rsid w:val="00173E31"/>
    <w:rsid w:val="0017483F"/>
    <w:rsid w:val="00175F38"/>
    <w:rsid w:val="00180647"/>
    <w:rsid w:val="00183F4A"/>
    <w:rsid w:val="00190FFF"/>
    <w:rsid w:val="00193F8A"/>
    <w:rsid w:val="001979CE"/>
    <w:rsid w:val="001A0F4A"/>
    <w:rsid w:val="001A2F50"/>
    <w:rsid w:val="001B0DCB"/>
    <w:rsid w:val="001B5350"/>
    <w:rsid w:val="001C1974"/>
    <w:rsid w:val="001D222D"/>
    <w:rsid w:val="001D64EF"/>
    <w:rsid w:val="001E10BE"/>
    <w:rsid w:val="001E6C76"/>
    <w:rsid w:val="001F0C1D"/>
    <w:rsid w:val="001F5D9A"/>
    <w:rsid w:val="00200FA6"/>
    <w:rsid w:val="00203942"/>
    <w:rsid w:val="00216FB5"/>
    <w:rsid w:val="002304C3"/>
    <w:rsid w:val="0023620C"/>
    <w:rsid w:val="00241932"/>
    <w:rsid w:val="0024293C"/>
    <w:rsid w:val="00242DBA"/>
    <w:rsid w:val="00253EA0"/>
    <w:rsid w:val="00264CAB"/>
    <w:rsid w:val="002652A2"/>
    <w:rsid w:val="00270CF4"/>
    <w:rsid w:val="00277C93"/>
    <w:rsid w:val="002809D3"/>
    <w:rsid w:val="00290F67"/>
    <w:rsid w:val="00295DBD"/>
    <w:rsid w:val="002A30A3"/>
    <w:rsid w:val="002A4B70"/>
    <w:rsid w:val="002A71F7"/>
    <w:rsid w:val="002B6C46"/>
    <w:rsid w:val="002D6C54"/>
    <w:rsid w:val="002E1235"/>
    <w:rsid w:val="002F47DA"/>
    <w:rsid w:val="002F63C1"/>
    <w:rsid w:val="002F78D4"/>
    <w:rsid w:val="0030295B"/>
    <w:rsid w:val="00302A1F"/>
    <w:rsid w:val="00303760"/>
    <w:rsid w:val="00304E53"/>
    <w:rsid w:val="003051CA"/>
    <w:rsid w:val="00310D7B"/>
    <w:rsid w:val="003127B3"/>
    <w:rsid w:val="00317160"/>
    <w:rsid w:val="0032089D"/>
    <w:rsid w:val="00324C08"/>
    <w:rsid w:val="0032541A"/>
    <w:rsid w:val="0033228A"/>
    <w:rsid w:val="00335FE5"/>
    <w:rsid w:val="00336E01"/>
    <w:rsid w:val="0033774C"/>
    <w:rsid w:val="00337C9D"/>
    <w:rsid w:val="003418D6"/>
    <w:rsid w:val="00353A04"/>
    <w:rsid w:val="00356E0F"/>
    <w:rsid w:val="003627B9"/>
    <w:rsid w:val="0036696F"/>
    <w:rsid w:val="00367417"/>
    <w:rsid w:val="00367AF4"/>
    <w:rsid w:val="00370AC9"/>
    <w:rsid w:val="00370B76"/>
    <w:rsid w:val="0037754B"/>
    <w:rsid w:val="00383A00"/>
    <w:rsid w:val="00393190"/>
    <w:rsid w:val="003A4354"/>
    <w:rsid w:val="003A4D06"/>
    <w:rsid w:val="003B6651"/>
    <w:rsid w:val="003C3979"/>
    <w:rsid w:val="003E185F"/>
    <w:rsid w:val="003F4903"/>
    <w:rsid w:val="003F68B7"/>
    <w:rsid w:val="003F70F4"/>
    <w:rsid w:val="0040098B"/>
    <w:rsid w:val="00400F9C"/>
    <w:rsid w:val="00402C18"/>
    <w:rsid w:val="00410840"/>
    <w:rsid w:val="00414154"/>
    <w:rsid w:val="00414C84"/>
    <w:rsid w:val="00426CAC"/>
    <w:rsid w:val="00426CD6"/>
    <w:rsid w:val="00426D9B"/>
    <w:rsid w:val="00430C7B"/>
    <w:rsid w:val="00436C14"/>
    <w:rsid w:val="0044260F"/>
    <w:rsid w:val="00451FAD"/>
    <w:rsid w:val="00471357"/>
    <w:rsid w:val="00471A1C"/>
    <w:rsid w:val="00471F71"/>
    <w:rsid w:val="00480FCA"/>
    <w:rsid w:val="00483745"/>
    <w:rsid w:val="00486A8E"/>
    <w:rsid w:val="004975A3"/>
    <w:rsid w:val="004B4A7F"/>
    <w:rsid w:val="004B4C67"/>
    <w:rsid w:val="004D07E4"/>
    <w:rsid w:val="004D4550"/>
    <w:rsid w:val="004E2EB0"/>
    <w:rsid w:val="004E6652"/>
    <w:rsid w:val="004F24EE"/>
    <w:rsid w:val="004F2CE8"/>
    <w:rsid w:val="00511BC3"/>
    <w:rsid w:val="00512D8B"/>
    <w:rsid w:val="00513C45"/>
    <w:rsid w:val="00516FE2"/>
    <w:rsid w:val="00527B0B"/>
    <w:rsid w:val="00533CFC"/>
    <w:rsid w:val="00543085"/>
    <w:rsid w:val="00543B29"/>
    <w:rsid w:val="00546419"/>
    <w:rsid w:val="0055068B"/>
    <w:rsid w:val="00553AE3"/>
    <w:rsid w:val="00562702"/>
    <w:rsid w:val="00563D75"/>
    <w:rsid w:val="0056464C"/>
    <w:rsid w:val="005A2099"/>
    <w:rsid w:val="005B33BE"/>
    <w:rsid w:val="005B5B18"/>
    <w:rsid w:val="005D3BF3"/>
    <w:rsid w:val="005D5BFB"/>
    <w:rsid w:val="005E0637"/>
    <w:rsid w:val="005F2A65"/>
    <w:rsid w:val="005F5AA8"/>
    <w:rsid w:val="0060323C"/>
    <w:rsid w:val="00607627"/>
    <w:rsid w:val="00616BBA"/>
    <w:rsid w:val="006172F6"/>
    <w:rsid w:val="00633DE3"/>
    <w:rsid w:val="006345F5"/>
    <w:rsid w:val="00646647"/>
    <w:rsid w:val="00650894"/>
    <w:rsid w:val="00652C82"/>
    <w:rsid w:val="00652DDC"/>
    <w:rsid w:val="0066129B"/>
    <w:rsid w:val="00661894"/>
    <w:rsid w:val="006644FA"/>
    <w:rsid w:val="00665022"/>
    <w:rsid w:val="00667B79"/>
    <w:rsid w:val="00672B91"/>
    <w:rsid w:val="00672E78"/>
    <w:rsid w:val="0068443A"/>
    <w:rsid w:val="00685EC7"/>
    <w:rsid w:val="00686A00"/>
    <w:rsid w:val="0069314B"/>
    <w:rsid w:val="00694433"/>
    <w:rsid w:val="006A0E36"/>
    <w:rsid w:val="006B2C7E"/>
    <w:rsid w:val="006C69D2"/>
    <w:rsid w:val="006D0D39"/>
    <w:rsid w:val="006D4FBC"/>
    <w:rsid w:val="006D5EF7"/>
    <w:rsid w:val="006D632F"/>
    <w:rsid w:val="006E3BBC"/>
    <w:rsid w:val="006E5122"/>
    <w:rsid w:val="006E7097"/>
    <w:rsid w:val="006F7D94"/>
    <w:rsid w:val="00704F88"/>
    <w:rsid w:val="00710081"/>
    <w:rsid w:val="00712C00"/>
    <w:rsid w:val="0072057F"/>
    <w:rsid w:val="0072778E"/>
    <w:rsid w:val="007530E9"/>
    <w:rsid w:val="00765476"/>
    <w:rsid w:val="0076570B"/>
    <w:rsid w:val="007657E6"/>
    <w:rsid w:val="00772B80"/>
    <w:rsid w:val="00780DE5"/>
    <w:rsid w:val="00783EF5"/>
    <w:rsid w:val="007A1270"/>
    <w:rsid w:val="007A61BE"/>
    <w:rsid w:val="007B661C"/>
    <w:rsid w:val="007C03CF"/>
    <w:rsid w:val="007C0545"/>
    <w:rsid w:val="007C0CF2"/>
    <w:rsid w:val="007C184C"/>
    <w:rsid w:val="007D2A66"/>
    <w:rsid w:val="007D47E3"/>
    <w:rsid w:val="007E114D"/>
    <w:rsid w:val="007E130B"/>
    <w:rsid w:val="007F17A7"/>
    <w:rsid w:val="008008CD"/>
    <w:rsid w:val="00802ABB"/>
    <w:rsid w:val="00805589"/>
    <w:rsid w:val="00814145"/>
    <w:rsid w:val="00814871"/>
    <w:rsid w:val="00814E16"/>
    <w:rsid w:val="00823D06"/>
    <w:rsid w:val="0083083F"/>
    <w:rsid w:val="00842C2C"/>
    <w:rsid w:val="00844638"/>
    <w:rsid w:val="00845A19"/>
    <w:rsid w:val="00847485"/>
    <w:rsid w:val="00854856"/>
    <w:rsid w:val="00863A03"/>
    <w:rsid w:val="00864702"/>
    <w:rsid w:val="00876669"/>
    <w:rsid w:val="00887E07"/>
    <w:rsid w:val="008928FB"/>
    <w:rsid w:val="00896E7E"/>
    <w:rsid w:val="0089778F"/>
    <w:rsid w:val="008B10F6"/>
    <w:rsid w:val="008B4511"/>
    <w:rsid w:val="008E3AD1"/>
    <w:rsid w:val="008F2302"/>
    <w:rsid w:val="008F6D32"/>
    <w:rsid w:val="00910861"/>
    <w:rsid w:val="00914C9A"/>
    <w:rsid w:val="0092169B"/>
    <w:rsid w:val="0092513C"/>
    <w:rsid w:val="00925316"/>
    <w:rsid w:val="009258C8"/>
    <w:rsid w:val="009349E7"/>
    <w:rsid w:val="00935A78"/>
    <w:rsid w:val="00936DB7"/>
    <w:rsid w:val="00937989"/>
    <w:rsid w:val="00941C5B"/>
    <w:rsid w:val="00943B9B"/>
    <w:rsid w:val="009440E9"/>
    <w:rsid w:val="00953BB3"/>
    <w:rsid w:val="00955BFB"/>
    <w:rsid w:val="00957658"/>
    <w:rsid w:val="009641AD"/>
    <w:rsid w:val="00965736"/>
    <w:rsid w:val="00974F43"/>
    <w:rsid w:val="0097753A"/>
    <w:rsid w:val="00983168"/>
    <w:rsid w:val="009931B0"/>
    <w:rsid w:val="00993B83"/>
    <w:rsid w:val="00993E99"/>
    <w:rsid w:val="009A231C"/>
    <w:rsid w:val="009A2FB9"/>
    <w:rsid w:val="009A3836"/>
    <w:rsid w:val="009A5617"/>
    <w:rsid w:val="009B5659"/>
    <w:rsid w:val="009B7FC5"/>
    <w:rsid w:val="009C359C"/>
    <w:rsid w:val="009C5DE6"/>
    <w:rsid w:val="009C7D67"/>
    <w:rsid w:val="009D2242"/>
    <w:rsid w:val="009D713C"/>
    <w:rsid w:val="009E365C"/>
    <w:rsid w:val="009E77A0"/>
    <w:rsid w:val="009F6658"/>
    <w:rsid w:val="009F674C"/>
    <w:rsid w:val="00A02E57"/>
    <w:rsid w:val="00A04216"/>
    <w:rsid w:val="00A156DC"/>
    <w:rsid w:val="00A160A3"/>
    <w:rsid w:val="00A22994"/>
    <w:rsid w:val="00A27DB1"/>
    <w:rsid w:val="00A43292"/>
    <w:rsid w:val="00A53C87"/>
    <w:rsid w:val="00A55CAE"/>
    <w:rsid w:val="00A56EAF"/>
    <w:rsid w:val="00A76739"/>
    <w:rsid w:val="00A8500B"/>
    <w:rsid w:val="00A90E5F"/>
    <w:rsid w:val="00A92E31"/>
    <w:rsid w:val="00AA2F5E"/>
    <w:rsid w:val="00AA61B4"/>
    <w:rsid w:val="00AB31C1"/>
    <w:rsid w:val="00AB6E2E"/>
    <w:rsid w:val="00AB7C86"/>
    <w:rsid w:val="00AD2C42"/>
    <w:rsid w:val="00AD6831"/>
    <w:rsid w:val="00AE1A32"/>
    <w:rsid w:val="00AE2B0F"/>
    <w:rsid w:val="00AE2B38"/>
    <w:rsid w:val="00AE3706"/>
    <w:rsid w:val="00AF1CA1"/>
    <w:rsid w:val="00B06E11"/>
    <w:rsid w:val="00B108D7"/>
    <w:rsid w:val="00B123C2"/>
    <w:rsid w:val="00B15588"/>
    <w:rsid w:val="00B22306"/>
    <w:rsid w:val="00B25192"/>
    <w:rsid w:val="00B2779D"/>
    <w:rsid w:val="00B32B9D"/>
    <w:rsid w:val="00B4129D"/>
    <w:rsid w:val="00B46B00"/>
    <w:rsid w:val="00B51DD6"/>
    <w:rsid w:val="00B52A2E"/>
    <w:rsid w:val="00B56E82"/>
    <w:rsid w:val="00B5730F"/>
    <w:rsid w:val="00B737BC"/>
    <w:rsid w:val="00B83018"/>
    <w:rsid w:val="00B92FED"/>
    <w:rsid w:val="00B96D9D"/>
    <w:rsid w:val="00B97A1E"/>
    <w:rsid w:val="00BA19DA"/>
    <w:rsid w:val="00BA4554"/>
    <w:rsid w:val="00BA5774"/>
    <w:rsid w:val="00BB020C"/>
    <w:rsid w:val="00BD56A5"/>
    <w:rsid w:val="00BE6206"/>
    <w:rsid w:val="00BF5887"/>
    <w:rsid w:val="00BF6D66"/>
    <w:rsid w:val="00C02AC6"/>
    <w:rsid w:val="00C02B03"/>
    <w:rsid w:val="00C26F1E"/>
    <w:rsid w:val="00C30662"/>
    <w:rsid w:val="00C313D8"/>
    <w:rsid w:val="00C34854"/>
    <w:rsid w:val="00C42A17"/>
    <w:rsid w:val="00C446CD"/>
    <w:rsid w:val="00C47E80"/>
    <w:rsid w:val="00C6394C"/>
    <w:rsid w:val="00C72644"/>
    <w:rsid w:val="00C81D0A"/>
    <w:rsid w:val="00C923A7"/>
    <w:rsid w:val="00C96EE9"/>
    <w:rsid w:val="00CA1250"/>
    <w:rsid w:val="00CA2572"/>
    <w:rsid w:val="00CA2BE6"/>
    <w:rsid w:val="00CA3645"/>
    <w:rsid w:val="00CA4BAD"/>
    <w:rsid w:val="00CA70B1"/>
    <w:rsid w:val="00CB73BE"/>
    <w:rsid w:val="00CB7C80"/>
    <w:rsid w:val="00CD1907"/>
    <w:rsid w:val="00CE17E5"/>
    <w:rsid w:val="00CE38D6"/>
    <w:rsid w:val="00CE58FC"/>
    <w:rsid w:val="00CE7E57"/>
    <w:rsid w:val="00CF2F6F"/>
    <w:rsid w:val="00CF74E4"/>
    <w:rsid w:val="00D03C2E"/>
    <w:rsid w:val="00D0691F"/>
    <w:rsid w:val="00D1697F"/>
    <w:rsid w:val="00D25DF2"/>
    <w:rsid w:val="00D436CA"/>
    <w:rsid w:val="00D7566E"/>
    <w:rsid w:val="00D85128"/>
    <w:rsid w:val="00D8526D"/>
    <w:rsid w:val="00D86DAE"/>
    <w:rsid w:val="00D95963"/>
    <w:rsid w:val="00DB58CA"/>
    <w:rsid w:val="00DC37D9"/>
    <w:rsid w:val="00DC3D77"/>
    <w:rsid w:val="00DD320A"/>
    <w:rsid w:val="00DD3CA1"/>
    <w:rsid w:val="00DE53A4"/>
    <w:rsid w:val="00DE7010"/>
    <w:rsid w:val="00DF489E"/>
    <w:rsid w:val="00DF4FDB"/>
    <w:rsid w:val="00DF6B01"/>
    <w:rsid w:val="00DF7405"/>
    <w:rsid w:val="00E13E07"/>
    <w:rsid w:val="00E217C1"/>
    <w:rsid w:val="00E25266"/>
    <w:rsid w:val="00E324A1"/>
    <w:rsid w:val="00E3394D"/>
    <w:rsid w:val="00E4129D"/>
    <w:rsid w:val="00E44167"/>
    <w:rsid w:val="00E53896"/>
    <w:rsid w:val="00E62453"/>
    <w:rsid w:val="00E6297F"/>
    <w:rsid w:val="00E652D0"/>
    <w:rsid w:val="00E726D2"/>
    <w:rsid w:val="00E75A59"/>
    <w:rsid w:val="00E84926"/>
    <w:rsid w:val="00E878D2"/>
    <w:rsid w:val="00E90D4C"/>
    <w:rsid w:val="00E922CC"/>
    <w:rsid w:val="00E93F70"/>
    <w:rsid w:val="00EA229C"/>
    <w:rsid w:val="00EB0F00"/>
    <w:rsid w:val="00EB0F86"/>
    <w:rsid w:val="00EB209C"/>
    <w:rsid w:val="00EE026C"/>
    <w:rsid w:val="00EE20D2"/>
    <w:rsid w:val="00EE7891"/>
    <w:rsid w:val="00EF0A80"/>
    <w:rsid w:val="00EF0FFD"/>
    <w:rsid w:val="00F00003"/>
    <w:rsid w:val="00F14D7E"/>
    <w:rsid w:val="00F26F1E"/>
    <w:rsid w:val="00F274BF"/>
    <w:rsid w:val="00F30DB7"/>
    <w:rsid w:val="00F5167C"/>
    <w:rsid w:val="00F517EA"/>
    <w:rsid w:val="00F524E5"/>
    <w:rsid w:val="00F55E99"/>
    <w:rsid w:val="00F5694E"/>
    <w:rsid w:val="00F61816"/>
    <w:rsid w:val="00F66576"/>
    <w:rsid w:val="00F668B3"/>
    <w:rsid w:val="00F73792"/>
    <w:rsid w:val="00F7571A"/>
    <w:rsid w:val="00F86827"/>
    <w:rsid w:val="00F968BE"/>
    <w:rsid w:val="00FD2A20"/>
    <w:rsid w:val="00FD7066"/>
    <w:rsid w:val="00FE1A75"/>
    <w:rsid w:val="00FE7188"/>
    <w:rsid w:val="00FE7DF3"/>
    <w:rsid w:val="00FF0B42"/>
    <w:rsid w:val="00FF3DC2"/>
    <w:rsid w:val="00FF49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B865772"/>
  <w15:docId w15:val="{39770107-AF9F-45BF-8FF5-836AFE5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0C7B"/>
    <w:pPr>
      <w:spacing w:after="0" w:line="240" w:lineRule="auto"/>
    </w:pPr>
    <w:rPr>
      <w:rFonts w:ascii="Arial" w:eastAsia="Times New Roman" w:hAnsi="Arial" w:cs="Times New Roman"/>
      <w:sz w:val="20"/>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aliases w:val="2,H&amp;P List Paragraph,Strip"/>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styleId="Komentraatsauce">
    <w:name w:val="annotation reference"/>
    <w:basedOn w:val="Noklusjumarindkopasfonts"/>
    <w:uiPriority w:val="99"/>
    <w:semiHidden/>
    <w:unhideWhenUsed/>
    <w:rsid w:val="00F26F1E"/>
    <w:rPr>
      <w:sz w:val="16"/>
      <w:szCs w:val="16"/>
    </w:rPr>
  </w:style>
  <w:style w:type="paragraph" w:styleId="Komentrateksts">
    <w:name w:val="annotation text"/>
    <w:basedOn w:val="Parasts"/>
    <w:link w:val="KomentratekstsRakstz"/>
    <w:uiPriority w:val="99"/>
    <w:semiHidden/>
    <w:unhideWhenUsed/>
    <w:rsid w:val="00F26F1E"/>
    <w:rPr>
      <w:szCs w:val="20"/>
    </w:rPr>
  </w:style>
  <w:style w:type="character" w:customStyle="1" w:styleId="KomentratekstsRakstz">
    <w:name w:val="Komentāra teksts Rakstz."/>
    <w:basedOn w:val="Noklusjumarindkopasfonts"/>
    <w:link w:val="Komentrateksts"/>
    <w:uiPriority w:val="99"/>
    <w:semiHidden/>
    <w:rsid w:val="00F26F1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26F1E"/>
    <w:rPr>
      <w:b/>
      <w:bCs/>
    </w:rPr>
  </w:style>
  <w:style w:type="character" w:customStyle="1" w:styleId="KomentratmaRakstz">
    <w:name w:val="Komentāra tēma Rakstz."/>
    <w:basedOn w:val="KomentratekstsRakstz"/>
    <w:link w:val="Komentratma"/>
    <w:uiPriority w:val="99"/>
    <w:semiHidden/>
    <w:rsid w:val="00F26F1E"/>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2 Rakstz.,H&amp;P List Paragraph Rakstz.,Strip Rakstz."/>
    <w:link w:val="Sarakstarindkopa"/>
    <w:uiPriority w:val="34"/>
    <w:locked/>
    <w:rsid w:val="002304C3"/>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5F25-8B62-41F6-9E4F-E8E62EFA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4954</Words>
  <Characters>2825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Sproge</dc:creator>
  <cp:lastModifiedBy>Sintija Biša</cp:lastModifiedBy>
  <cp:revision>2</cp:revision>
  <cp:lastPrinted>2017-12-28T08:53:00Z</cp:lastPrinted>
  <dcterms:created xsi:type="dcterms:W3CDTF">2024-03-28T07:20:00Z</dcterms:created>
  <dcterms:modified xsi:type="dcterms:W3CDTF">2024-03-28T07:20:00Z</dcterms:modified>
</cp:coreProperties>
</file>