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13F93" w14:textId="77777777" w:rsidR="00A53C40" w:rsidRPr="00FA4AFE" w:rsidRDefault="00A53C40" w:rsidP="00587487">
      <w:pPr>
        <w:spacing w:after="0" w:line="240" w:lineRule="auto"/>
        <w:jc w:val="both"/>
        <w:rPr>
          <w:rFonts w:ascii="Tahoma" w:hAnsi="Tahoma" w:cs="Tahoma"/>
          <w:sz w:val="20"/>
          <w:szCs w:val="20"/>
          <w:lang w:val="lv-LV"/>
        </w:rPr>
      </w:pPr>
    </w:p>
    <w:p w14:paraId="6D20A9DD" w14:textId="77777777" w:rsidR="00A53C40" w:rsidRPr="00FA4AFE" w:rsidRDefault="00A53C40" w:rsidP="00587487">
      <w:pPr>
        <w:spacing w:after="0" w:line="240" w:lineRule="auto"/>
        <w:jc w:val="both"/>
        <w:rPr>
          <w:rFonts w:ascii="Tahoma" w:hAnsi="Tahoma" w:cs="Tahoma"/>
          <w:sz w:val="20"/>
          <w:szCs w:val="20"/>
          <w:lang w:val="lv-LV"/>
        </w:rPr>
      </w:pPr>
    </w:p>
    <w:p w14:paraId="19217DB8" w14:textId="77777777" w:rsidR="00A53C40" w:rsidRPr="00FA4AFE" w:rsidRDefault="00A53C40" w:rsidP="00587487">
      <w:pPr>
        <w:spacing w:after="0" w:line="240" w:lineRule="auto"/>
        <w:jc w:val="both"/>
        <w:rPr>
          <w:rFonts w:ascii="Tahoma" w:hAnsi="Tahoma" w:cs="Tahoma"/>
          <w:sz w:val="20"/>
          <w:szCs w:val="20"/>
          <w:lang w:val="lv-LV"/>
        </w:rPr>
      </w:pPr>
    </w:p>
    <w:p w14:paraId="34E0CE31" w14:textId="77777777" w:rsidR="00587487" w:rsidRPr="00587487" w:rsidRDefault="00000000" w:rsidP="00587487">
      <w:pPr>
        <w:keepNext/>
        <w:spacing w:before="240" w:after="60" w:line="276" w:lineRule="auto"/>
        <w:jc w:val="both"/>
        <w:outlineLvl w:val="0"/>
        <w:rPr>
          <w:rFonts w:ascii="Tahoma" w:eastAsia="Calibri" w:hAnsi="Tahoma" w:cs="Tahoma"/>
          <w:b/>
          <w:kern w:val="0"/>
          <w:sz w:val="20"/>
          <w:szCs w:val="20"/>
          <w:lang w:val="lv-LV"/>
          <w14:ligatures w14:val="none"/>
        </w:rPr>
      </w:pPr>
      <w:r w:rsidRPr="00587487">
        <w:rPr>
          <w:rFonts w:ascii="Tahoma" w:eastAsia="Calibri" w:hAnsi="Tahoma" w:cs="Tahoma"/>
          <w:b/>
          <w:kern w:val="0"/>
          <w:sz w:val="20"/>
          <w:szCs w:val="20"/>
          <w:lang w:val="lv-LV"/>
          <w14:ligatures w14:val="none"/>
        </w:rPr>
        <w:t>Neatkarīgu revidentu ziņojums</w:t>
      </w:r>
    </w:p>
    <w:p w14:paraId="2F52F92E" w14:textId="77777777" w:rsidR="00587487" w:rsidRPr="00587487" w:rsidRDefault="00000000" w:rsidP="00587487">
      <w:pPr>
        <w:autoSpaceDE w:val="0"/>
        <w:autoSpaceDN w:val="0"/>
        <w:adjustRightInd w:val="0"/>
        <w:spacing w:after="0" w:line="276" w:lineRule="auto"/>
        <w:contextualSpacing/>
        <w:jc w:val="both"/>
        <w:rPr>
          <w:rFonts w:ascii="Tahoma" w:eastAsia="Calibri" w:hAnsi="Tahoma" w:cs="Tahoma"/>
          <w:kern w:val="0"/>
          <w:sz w:val="20"/>
          <w:szCs w:val="20"/>
          <w:lang w:val="lv-LV" w:bidi="my-MM"/>
          <w14:ligatures w14:val="none"/>
        </w:rPr>
      </w:pPr>
      <w:r w:rsidRPr="00587487">
        <w:rPr>
          <w:rFonts w:ascii="Tahoma" w:eastAsia="Calibri" w:hAnsi="Tahoma" w:cs="Tahoma"/>
          <w:kern w:val="0"/>
          <w:sz w:val="20"/>
          <w:szCs w:val="20"/>
          <w:lang w:val="lv-LV" w:bidi="my-MM"/>
          <w14:ligatures w14:val="none"/>
        </w:rPr>
        <w:t>DOKUMENTA DATUMS IR TĀ</w:t>
      </w:r>
    </w:p>
    <w:p w14:paraId="1D2E2936" w14:textId="77777777" w:rsidR="00587487" w:rsidRPr="00587487" w:rsidRDefault="00000000" w:rsidP="00587487">
      <w:pPr>
        <w:spacing w:after="0" w:line="276" w:lineRule="auto"/>
        <w:jc w:val="both"/>
        <w:rPr>
          <w:rFonts w:ascii="Tahoma" w:eastAsia="Calibri" w:hAnsi="Tahoma" w:cs="Tahoma"/>
          <w:kern w:val="0"/>
          <w:sz w:val="20"/>
          <w:szCs w:val="20"/>
          <w:lang w:val="lv-LV" w:bidi="my-MM"/>
          <w14:ligatures w14:val="none"/>
        </w:rPr>
      </w:pPr>
      <w:r w:rsidRPr="00587487">
        <w:rPr>
          <w:rFonts w:ascii="Tahoma" w:eastAsia="Calibri" w:hAnsi="Tahoma" w:cs="Tahoma"/>
          <w:kern w:val="0"/>
          <w:sz w:val="20"/>
          <w:szCs w:val="20"/>
          <w:lang w:val="lv-LV" w:bidi="my-MM"/>
          <w14:ligatures w14:val="none"/>
        </w:rPr>
        <w:t>ELEKTRONISKĀS PARAKSTĪŠANAS LAIKS</w:t>
      </w:r>
      <w:r w:rsidRPr="00587487">
        <w:rPr>
          <w:rFonts w:ascii="Tahoma" w:eastAsia="Calibri" w:hAnsi="Tahoma" w:cs="Tahoma"/>
          <w:b/>
          <w:kern w:val="0"/>
          <w:sz w:val="20"/>
          <w:szCs w:val="20"/>
          <w:lang w:val="lv-LV" w:bidi="my-MM"/>
          <w14:ligatures w14:val="none"/>
        </w:rPr>
        <w:tab/>
      </w:r>
      <w:r w:rsidRPr="00587487">
        <w:rPr>
          <w:rFonts w:ascii="Tahoma" w:eastAsia="Calibri" w:hAnsi="Tahoma" w:cs="Tahoma"/>
          <w:b/>
          <w:kern w:val="0"/>
          <w:sz w:val="20"/>
          <w:szCs w:val="20"/>
          <w:lang w:val="lv-LV" w:bidi="my-MM"/>
          <w14:ligatures w14:val="none"/>
        </w:rPr>
        <w:tab/>
      </w:r>
      <w:r w:rsidRPr="00587487">
        <w:rPr>
          <w:rFonts w:ascii="Tahoma" w:eastAsia="Calibri" w:hAnsi="Tahoma" w:cs="Tahoma"/>
          <w:b/>
          <w:kern w:val="0"/>
          <w:sz w:val="20"/>
          <w:szCs w:val="20"/>
          <w:lang w:val="lv-LV" w:bidi="my-MM"/>
          <w14:ligatures w14:val="none"/>
        </w:rPr>
        <w:tab/>
      </w:r>
      <w:r w:rsidRPr="00587487">
        <w:rPr>
          <w:rFonts w:ascii="Tahoma" w:eastAsia="Calibri" w:hAnsi="Tahoma" w:cs="Tahoma"/>
          <w:b/>
          <w:kern w:val="0"/>
          <w:sz w:val="20"/>
          <w:szCs w:val="20"/>
          <w:lang w:val="lv-LV" w:bidi="my-MM"/>
          <w14:ligatures w14:val="none"/>
        </w:rPr>
        <w:tab/>
      </w:r>
      <w:r w:rsidRPr="00587487">
        <w:rPr>
          <w:rFonts w:ascii="Tahoma" w:eastAsia="Calibri" w:hAnsi="Tahoma" w:cs="Tahoma"/>
          <w:b/>
          <w:kern w:val="0"/>
          <w:sz w:val="20"/>
          <w:szCs w:val="20"/>
          <w:lang w:val="lv-LV" w:bidi="my-MM"/>
          <w14:ligatures w14:val="none"/>
        </w:rPr>
        <w:tab/>
      </w:r>
      <w:r w:rsidRPr="00587487">
        <w:rPr>
          <w:rFonts w:ascii="Tahoma" w:eastAsia="Calibri" w:hAnsi="Tahoma" w:cs="Tahoma"/>
          <w:b/>
          <w:kern w:val="0"/>
          <w:sz w:val="20"/>
          <w:szCs w:val="20"/>
          <w:lang w:val="lv-LV" w:bidi="my-MM"/>
          <w14:ligatures w14:val="none"/>
        </w:rPr>
        <w:tab/>
        <w:t xml:space="preserve">    </w:t>
      </w:r>
    </w:p>
    <w:p w14:paraId="0EEFCBBF" w14:textId="77777777" w:rsidR="00587487" w:rsidRPr="00587487" w:rsidRDefault="00000000" w:rsidP="00587487">
      <w:pPr>
        <w:keepNext/>
        <w:spacing w:after="60" w:line="276" w:lineRule="auto"/>
        <w:jc w:val="both"/>
        <w:outlineLvl w:val="0"/>
        <w:rPr>
          <w:rFonts w:ascii="Tahoma" w:eastAsia="Calibri" w:hAnsi="Tahoma" w:cs="Tahoma"/>
          <w:b/>
          <w:kern w:val="0"/>
          <w:sz w:val="20"/>
          <w:szCs w:val="20"/>
          <w:lang w:val="lv-LV"/>
          <w14:ligatures w14:val="none"/>
        </w:rPr>
      </w:pPr>
      <w:r w:rsidRPr="00587487">
        <w:rPr>
          <w:rFonts w:ascii="Tahoma" w:eastAsia="Calibri" w:hAnsi="Tahoma" w:cs="Tahoma"/>
          <w:b/>
          <w:kern w:val="0"/>
          <w:sz w:val="20"/>
          <w:szCs w:val="20"/>
          <w:lang w:val="lv-LV"/>
          <w14:ligatures w14:val="none"/>
        </w:rPr>
        <w:t>Liepājas valstspilsētas pašvaldībai</w:t>
      </w:r>
      <w:r w:rsidRPr="00587487">
        <w:rPr>
          <w:rFonts w:ascii="Tahoma" w:eastAsia="Calibri" w:hAnsi="Tahoma" w:cs="Tahoma"/>
          <w:b/>
          <w:kern w:val="0"/>
          <w:sz w:val="20"/>
          <w:szCs w:val="20"/>
          <w:lang w:val="lv-LV"/>
          <w14:ligatures w14:val="none"/>
        </w:rPr>
        <w:tab/>
      </w:r>
      <w:r w:rsidRPr="00587487">
        <w:rPr>
          <w:rFonts w:ascii="Tahoma" w:eastAsia="Calibri" w:hAnsi="Tahoma" w:cs="Tahoma"/>
          <w:b/>
          <w:kern w:val="0"/>
          <w:sz w:val="20"/>
          <w:szCs w:val="20"/>
          <w:lang w:val="lv-LV"/>
          <w14:ligatures w14:val="none"/>
        </w:rPr>
        <w:tab/>
      </w:r>
      <w:r w:rsidRPr="00587487">
        <w:rPr>
          <w:rFonts w:ascii="Tahoma" w:eastAsia="Calibri" w:hAnsi="Tahoma" w:cs="Tahoma"/>
          <w:b/>
          <w:kern w:val="0"/>
          <w:sz w:val="20"/>
          <w:szCs w:val="20"/>
          <w:lang w:val="lv-LV"/>
          <w14:ligatures w14:val="none"/>
        </w:rPr>
        <w:tab/>
      </w:r>
      <w:r w:rsidRPr="00587487">
        <w:rPr>
          <w:rFonts w:ascii="Tahoma" w:eastAsia="Calibri" w:hAnsi="Tahoma" w:cs="Tahoma"/>
          <w:b/>
          <w:kern w:val="0"/>
          <w:sz w:val="20"/>
          <w:szCs w:val="20"/>
          <w:lang w:val="lv-LV"/>
          <w14:ligatures w14:val="none"/>
        </w:rPr>
        <w:tab/>
      </w:r>
      <w:r w:rsidRPr="00587487">
        <w:rPr>
          <w:rFonts w:ascii="Tahoma" w:eastAsia="Calibri" w:hAnsi="Tahoma" w:cs="Tahoma"/>
          <w:b/>
          <w:kern w:val="0"/>
          <w:sz w:val="20"/>
          <w:szCs w:val="20"/>
          <w:lang w:val="lv-LV"/>
          <w14:ligatures w14:val="none"/>
        </w:rPr>
        <w:tab/>
      </w:r>
      <w:r w:rsidRPr="00587487">
        <w:rPr>
          <w:rFonts w:ascii="Tahoma" w:eastAsia="Calibri" w:hAnsi="Tahoma" w:cs="Tahoma"/>
          <w:b/>
          <w:kern w:val="0"/>
          <w:sz w:val="20"/>
          <w:szCs w:val="20"/>
          <w:lang w:val="lv-LV"/>
          <w14:ligatures w14:val="none"/>
        </w:rPr>
        <w:tab/>
      </w:r>
      <w:r w:rsidRPr="00587487">
        <w:rPr>
          <w:rFonts w:ascii="Tahoma" w:eastAsia="Calibri" w:hAnsi="Tahoma" w:cs="Tahoma"/>
          <w:b/>
          <w:kern w:val="0"/>
          <w:sz w:val="20"/>
          <w:szCs w:val="20"/>
          <w:lang w:val="lv-LV"/>
          <w14:ligatures w14:val="none"/>
        </w:rPr>
        <w:tab/>
      </w:r>
      <w:r w:rsidR="000C1BC8">
        <w:rPr>
          <w:rFonts w:ascii="Tahoma" w:eastAsia="Times New Roman" w:hAnsi="Tahoma" w:cs="Tahoma"/>
          <w:bCs/>
          <w:kern w:val="32"/>
          <w:sz w:val="20"/>
          <w:szCs w:val="20"/>
          <w:lang w:val="lv-LV" w:bidi="my-MM"/>
          <w14:ligatures w14:val="none"/>
        </w:rPr>
        <w:t>PROJEKTS</w:t>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r w:rsidRPr="00587487">
        <w:rPr>
          <w:rFonts w:ascii="Tahoma" w:eastAsia="Times New Roman" w:hAnsi="Tahoma" w:cs="Tahoma"/>
          <w:bCs/>
          <w:kern w:val="32"/>
          <w:sz w:val="32"/>
          <w:szCs w:val="32"/>
          <w:lang w:val="lv-LV"/>
          <w14:ligatures w14:val="none"/>
        </w:rPr>
        <w:tab/>
      </w:r>
    </w:p>
    <w:p w14:paraId="20680AAC" w14:textId="77777777" w:rsidR="00587487" w:rsidRPr="00B51C97" w:rsidRDefault="00000000" w:rsidP="00587487">
      <w:pPr>
        <w:keepNext/>
        <w:spacing w:before="240" w:after="60" w:line="240" w:lineRule="auto"/>
        <w:jc w:val="both"/>
        <w:outlineLvl w:val="2"/>
        <w:rPr>
          <w:rFonts w:ascii="Tahoma" w:eastAsia="Calibri" w:hAnsi="Tahoma" w:cs="Tahoma"/>
          <w:b/>
          <w:kern w:val="0"/>
          <w:sz w:val="20"/>
          <w:szCs w:val="20"/>
          <w:lang w:val="lv-LV"/>
          <w14:ligatures w14:val="none"/>
        </w:rPr>
      </w:pPr>
      <w:r w:rsidRPr="00B51C97">
        <w:rPr>
          <w:rFonts w:ascii="Tahoma" w:eastAsia="Calibri" w:hAnsi="Tahoma" w:cs="Tahoma"/>
          <w:b/>
          <w:kern w:val="0"/>
          <w:sz w:val="20"/>
          <w:szCs w:val="20"/>
          <w:lang w:val="lv-LV"/>
          <w14:ligatures w14:val="none"/>
        </w:rPr>
        <w:t>Mūsu atzinums ar iebildi par finanšu pārskatu</w:t>
      </w:r>
    </w:p>
    <w:p w14:paraId="526E295F" w14:textId="77777777" w:rsidR="00587487" w:rsidRPr="00587487" w:rsidRDefault="00000000" w:rsidP="00587487">
      <w:pPr>
        <w:autoSpaceDE w:val="0"/>
        <w:spacing w:before="120" w:after="0" w:line="276" w:lineRule="auto"/>
        <w:jc w:val="both"/>
        <w:rPr>
          <w:rFonts w:ascii="Tahoma" w:eastAsia="Calibri" w:hAnsi="Tahoma" w:cs="Tahoma"/>
          <w:bCs/>
          <w:kern w:val="0"/>
          <w:sz w:val="20"/>
          <w:szCs w:val="20"/>
          <w:lang w:val="lv-LV" w:eastAsia="lv-LV"/>
          <w14:ligatures w14:val="none"/>
        </w:rPr>
      </w:pPr>
      <w:r w:rsidRPr="00B51C97">
        <w:rPr>
          <w:rFonts w:ascii="Tahoma" w:eastAsia="Calibri" w:hAnsi="Tahoma" w:cs="Tahoma"/>
          <w:bCs/>
          <w:kern w:val="0"/>
          <w:sz w:val="20"/>
          <w:szCs w:val="20"/>
          <w:lang w:val="lv-LV" w:eastAsia="lv-LV"/>
          <w14:ligatures w14:val="none"/>
        </w:rPr>
        <w:t>Mēs esam veikuši Liepājas valstspilsētas pašvaldības</w:t>
      </w:r>
      <w:r w:rsidRPr="00587487">
        <w:rPr>
          <w:rFonts w:ascii="Tahoma" w:eastAsia="Calibri" w:hAnsi="Tahoma" w:cs="Tahoma"/>
          <w:bCs/>
          <w:kern w:val="0"/>
          <w:sz w:val="20"/>
          <w:szCs w:val="20"/>
          <w:lang w:val="lv-LV" w:eastAsia="lv-LV"/>
          <w14:ligatures w14:val="none"/>
        </w:rPr>
        <w:t xml:space="preserve"> (turpmāk tekstā </w:t>
      </w:r>
      <w:r w:rsidR="00F96130" w:rsidRPr="00B51C97">
        <w:rPr>
          <w:rFonts w:ascii="Tahoma" w:eastAsia="Calibri" w:hAnsi="Tahoma" w:cs="Tahoma"/>
          <w:bCs/>
          <w:iCs/>
          <w:kern w:val="0"/>
          <w:sz w:val="20"/>
          <w:szCs w:val="20"/>
          <w:lang w:val="lv-LV" w:eastAsia="lv-LV"/>
          <w14:ligatures w14:val="none"/>
        </w:rPr>
        <w:t>“</w:t>
      </w:r>
      <w:r w:rsidRPr="00587487">
        <w:rPr>
          <w:rFonts w:ascii="Tahoma" w:eastAsia="Calibri" w:hAnsi="Tahoma" w:cs="Tahoma"/>
          <w:bCs/>
          <w:kern w:val="0"/>
          <w:sz w:val="20"/>
          <w:szCs w:val="20"/>
          <w:lang w:val="lv-LV" w:eastAsia="lv-LV"/>
          <w14:ligatures w14:val="none"/>
        </w:rPr>
        <w:t>Pašvaldība”) pievienotajā gada pārskatā ietvertā konsolidētā finanšu pārskata revīziju. Pievienotais konsolidētais finanšu pārskats ietver:</w:t>
      </w:r>
    </w:p>
    <w:p w14:paraId="673606E3" w14:textId="77777777" w:rsidR="00587487" w:rsidRPr="00587487" w:rsidRDefault="00000000" w:rsidP="00587487">
      <w:pPr>
        <w:numPr>
          <w:ilvl w:val="0"/>
          <w:numId w:val="5"/>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konsolidēto pārskatu par finansiālo stāvokli 202</w:t>
      </w:r>
      <w:r w:rsidR="000C1BC8">
        <w:rPr>
          <w:rFonts w:ascii="Tahoma" w:eastAsia="Calibri" w:hAnsi="Tahoma" w:cs="Tahoma"/>
          <w:bCs/>
          <w:kern w:val="0"/>
          <w:sz w:val="20"/>
          <w:szCs w:val="20"/>
          <w:lang w:val="lv-LV" w:eastAsia="lv-LV"/>
          <w14:ligatures w14:val="none"/>
        </w:rPr>
        <w:t>3</w:t>
      </w:r>
      <w:r w:rsidRPr="00587487">
        <w:rPr>
          <w:rFonts w:ascii="Tahoma" w:eastAsia="Calibri" w:hAnsi="Tahoma" w:cs="Tahoma"/>
          <w:bCs/>
          <w:kern w:val="0"/>
          <w:sz w:val="20"/>
          <w:szCs w:val="20"/>
          <w:lang w:val="lv-LV" w:eastAsia="lv-LV"/>
          <w14:ligatures w14:val="none"/>
        </w:rPr>
        <w:t>. gada 31. decembrī (bilance);</w:t>
      </w:r>
    </w:p>
    <w:p w14:paraId="1EB32974" w14:textId="77777777" w:rsidR="00587487" w:rsidRPr="00587487" w:rsidRDefault="00000000" w:rsidP="00587487">
      <w:pPr>
        <w:numPr>
          <w:ilvl w:val="0"/>
          <w:numId w:val="5"/>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konsolidēto pārskatu par darbības finansiālajiem rezultātiem par gadu, kas noslēdzās 202</w:t>
      </w:r>
      <w:r w:rsidR="000C1BC8">
        <w:rPr>
          <w:rFonts w:ascii="Tahoma" w:eastAsia="Calibri" w:hAnsi="Tahoma" w:cs="Tahoma"/>
          <w:bCs/>
          <w:kern w:val="0"/>
          <w:sz w:val="20"/>
          <w:szCs w:val="20"/>
          <w:lang w:val="lv-LV" w:eastAsia="lv-LV"/>
          <w14:ligatures w14:val="none"/>
        </w:rPr>
        <w:t>3</w:t>
      </w:r>
      <w:r w:rsidRPr="00587487">
        <w:rPr>
          <w:rFonts w:ascii="Tahoma" w:eastAsia="Calibri" w:hAnsi="Tahoma" w:cs="Tahoma"/>
          <w:bCs/>
          <w:kern w:val="0"/>
          <w:sz w:val="20"/>
          <w:szCs w:val="20"/>
          <w:lang w:val="lv-LV" w:eastAsia="lv-LV"/>
          <w14:ligatures w14:val="none"/>
        </w:rPr>
        <w:t>. gada 31. decembrī;</w:t>
      </w:r>
    </w:p>
    <w:p w14:paraId="5A4A0BB3" w14:textId="77777777" w:rsidR="00587487" w:rsidRPr="00587487" w:rsidRDefault="00000000" w:rsidP="00587487">
      <w:pPr>
        <w:numPr>
          <w:ilvl w:val="0"/>
          <w:numId w:val="5"/>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konsolidēto pašu kapitāla izmaiņu pārskatu par gadu, kas noslēdzās 202</w:t>
      </w:r>
      <w:r w:rsidR="000C1BC8">
        <w:rPr>
          <w:rFonts w:ascii="Tahoma" w:eastAsia="Calibri" w:hAnsi="Tahoma" w:cs="Tahoma"/>
          <w:bCs/>
          <w:kern w:val="0"/>
          <w:sz w:val="20"/>
          <w:szCs w:val="20"/>
          <w:lang w:val="lv-LV" w:eastAsia="lv-LV"/>
          <w14:ligatures w14:val="none"/>
        </w:rPr>
        <w:t>3</w:t>
      </w:r>
      <w:r w:rsidRPr="00587487">
        <w:rPr>
          <w:rFonts w:ascii="Tahoma" w:eastAsia="Calibri" w:hAnsi="Tahoma" w:cs="Tahoma"/>
          <w:bCs/>
          <w:kern w:val="0"/>
          <w:sz w:val="20"/>
          <w:szCs w:val="20"/>
          <w:lang w:val="lv-LV" w:eastAsia="lv-LV"/>
          <w14:ligatures w14:val="none"/>
        </w:rPr>
        <w:t>. gada 31. decembrī;</w:t>
      </w:r>
    </w:p>
    <w:p w14:paraId="65AFB395" w14:textId="77777777" w:rsidR="00587487" w:rsidRPr="00587487" w:rsidRDefault="00000000" w:rsidP="00587487">
      <w:pPr>
        <w:numPr>
          <w:ilvl w:val="0"/>
          <w:numId w:val="5"/>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konsolidēto naudas plūsmas pārskatu par gadu, kas noslēdzās 202</w:t>
      </w:r>
      <w:r w:rsidR="000C1BC8">
        <w:rPr>
          <w:rFonts w:ascii="Tahoma" w:eastAsia="Calibri" w:hAnsi="Tahoma" w:cs="Tahoma"/>
          <w:bCs/>
          <w:kern w:val="0"/>
          <w:sz w:val="20"/>
          <w:szCs w:val="20"/>
          <w:lang w:val="lv-LV" w:eastAsia="lv-LV"/>
          <w14:ligatures w14:val="none"/>
        </w:rPr>
        <w:t>3</w:t>
      </w:r>
      <w:r w:rsidRPr="00587487">
        <w:rPr>
          <w:rFonts w:ascii="Tahoma" w:eastAsia="Calibri" w:hAnsi="Tahoma" w:cs="Tahoma"/>
          <w:bCs/>
          <w:kern w:val="0"/>
          <w:sz w:val="20"/>
          <w:szCs w:val="20"/>
          <w:lang w:val="lv-LV" w:eastAsia="lv-LV"/>
          <w14:ligatures w14:val="none"/>
        </w:rPr>
        <w:t>. gada 31. decembrī;</w:t>
      </w:r>
    </w:p>
    <w:p w14:paraId="20894801" w14:textId="77777777" w:rsidR="00587487" w:rsidRPr="00587487" w:rsidRDefault="00000000" w:rsidP="00587487">
      <w:pPr>
        <w:numPr>
          <w:ilvl w:val="0"/>
          <w:numId w:val="5"/>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konsolidēto finanšu pārskata pielikumu, tai skaitā, finanšu pārskata posteņu skaidrojumu, grāmatvedības uzskaites principu aprakstu, gada pārskata sagatavošanas principu aprakstu un finanšu instrumentu risku pārvaldīšanas aprakstu. </w:t>
      </w:r>
    </w:p>
    <w:p w14:paraId="4D9BFEEB"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Mūsuprāt, izņemot atzinuma ar iebildi pamatojuma rindkopā aprakstīto apstākļu ietekmi, pievienotais konsolidētais finanšu pārskats sniedz patiesu un skaidru priekšstatu par Liepājas valstspilsētas pašvaldības konsolidēto finansiālo stāvokli 202</w:t>
      </w:r>
      <w:r w:rsidR="000C1BC8">
        <w:rPr>
          <w:rFonts w:ascii="Tahoma" w:eastAsia="Calibri" w:hAnsi="Tahoma" w:cs="Tahoma"/>
          <w:bCs/>
          <w:kern w:val="0"/>
          <w:sz w:val="20"/>
          <w:szCs w:val="20"/>
          <w:lang w:val="lv-LV" w:eastAsia="lv-LV"/>
          <w14:ligatures w14:val="none"/>
        </w:rPr>
        <w:t>3</w:t>
      </w:r>
      <w:r w:rsidRPr="00587487">
        <w:rPr>
          <w:rFonts w:ascii="Tahoma" w:eastAsia="Calibri" w:hAnsi="Tahoma" w:cs="Tahoma"/>
          <w:bCs/>
          <w:kern w:val="0"/>
          <w:sz w:val="20"/>
          <w:szCs w:val="20"/>
          <w:lang w:val="lv-LV" w:eastAsia="lv-LV"/>
          <w14:ligatures w14:val="none"/>
        </w:rPr>
        <w:t>. gada 31. decembrī un par tās konsolidētajiem darbības finanšu rezultātiem un konsolidēto naudas plūsmu gadā, kas noslēdzās 202</w:t>
      </w:r>
      <w:r w:rsidR="000C1BC8">
        <w:rPr>
          <w:rFonts w:ascii="Tahoma" w:eastAsia="Calibri" w:hAnsi="Tahoma" w:cs="Tahoma"/>
          <w:bCs/>
          <w:kern w:val="0"/>
          <w:sz w:val="20"/>
          <w:szCs w:val="20"/>
          <w:lang w:val="lv-LV" w:eastAsia="lv-LV"/>
          <w14:ligatures w14:val="none"/>
        </w:rPr>
        <w:t>3</w:t>
      </w:r>
      <w:r w:rsidRPr="00587487">
        <w:rPr>
          <w:rFonts w:ascii="Tahoma" w:eastAsia="Calibri" w:hAnsi="Tahoma" w:cs="Tahoma"/>
          <w:bCs/>
          <w:kern w:val="0"/>
          <w:sz w:val="20"/>
          <w:szCs w:val="20"/>
          <w:lang w:val="lv-LV" w:eastAsia="lv-LV"/>
          <w14:ligatures w14:val="none"/>
        </w:rPr>
        <w:t xml:space="preserve">. gada 31. decembrī, saskaņā ar Ministru Kabineta </w:t>
      </w:r>
      <w:r w:rsidR="00907273" w:rsidRPr="00570001">
        <w:rPr>
          <w:rFonts w:ascii="Tahoma" w:eastAsia="Calibri" w:hAnsi="Tahoma" w:cs="Tahoma"/>
          <w:bCs/>
          <w:kern w:val="0"/>
          <w:sz w:val="20"/>
          <w:szCs w:val="20"/>
          <w:lang w:val="lv-LV" w:eastAsia="lv-LV"/>
          <w14:ligatures w14:val="none"/>
        </w:rPr>
        <w:t>20</w:t>
      </w:r>
      <w:r w:rsidR="00907273">
        <w:rPr>
          <w:rFonts w:ascii="Tahoma" w:eastAsia="Calibri" w:hAnsi="Tahoma" w:cs="Tahoma"/>
          <w:bCs/>
          <w:kern w:val="0"/>
          <w:sz w:val="20"/>
          <w:szCs w:val="20"/>
          <w:lang w:val="lv-LV" w:eastAsia="lv-LV"/>
          <w14:ligatures w14:val="none"/>
        </w:rPr>
        <w:t>21</w:t>
      </w:r>
      <w:r w:rsidR="00907273" w:rsidRPr="00570001">
        <w:rPr>
          <w:rFonts w:ascii="Tahoma" w:eastAsia="Calibri" w:hAnsi="Tahoma" w:cs="Tahoma"/>
          <w:bCs/>
          <w:kern w:val="0"/>
          <w:sz w:val="20"/>
          <w:szCs w:val="20"/>
          <w:lang w:val="lv-LV" w:eastAsia="lv-LV"/>
          <w14:ligatures w14:val="none"/>
        </w:rPr>
        <w:t xml:space="preserve">. gada </w:t>
      </w:r>
      <w:r w:rsidR="00907273">
        <w:rPr>
          <w:rFonts w:ascii="Tahoma" w:eastAsia="Calibri" w:hAnsi="Tahoma" w:cs="Tahoma"/>
          <w:bCs/>
          <w:kern w:val="0"/>
          <w:sz w:val="20"/>
          <w:szCs w:val="20"/>
          <w:lang w:val="lv-LV" w:eastAsia="lv-LV"/>
          <w14:ligatures w14:val="none"/>
        </w:rPr>
        <w:t>28.</w:t>
      </w:r>
      <w:r w:rsidR="002559BF">
        <w:rPr>
          <w:rFonts w:ascii="Tahoma" w:eastAsia="Calibri" w:hAnsi="Tahoma" w:cs="Tahoma"/>
          <w:bCs/>
          <w:kern w:val="0"/>
          <w:sz w:val="20"/>
          <w:szCs w:val="20"/>
          <w:lang w:val="lv-LV" w:eastAsia="lv-LV"/>
          <w14:ligatures w14:val="none"/>
        </w:rPr>
        <w:t xml:space="preserve"> </w:t>
      </w:r>
      <w:r w:rsidR="00907273">
        <w:rPr>
          <w:rFonts w:ascii="Tahoma" w:eastAsia="Calibri" w:hAnsi="Tahoma" w:cs="Tahoma"/>
          <w:bCs/>
          <w:kern w:val="0"/>
          <w:sz w:val="20"/>
          <w:szCs w:val="20"/>
          <w:lang w:val="lv-LV" w:eastAsia="lv-LV"/>
          <w14:ligatures w14:val="none"/>
        </w:rPr>
        <w:t>septembra</w:t>
      </w:r>
      <w:r w:rsidR="00907273" w:rsidRPr="00570001">
        <w:rPr>
          <w:rFonts w:ascii="Tahoma" w:eastAsia="Calibri" w:hAnsi="Tahoma" w:cs="Tahoma"/>
          <w:bCs/>
          <w:kern w:val="0"/>
          <w:sz w:val="20"/>
          <w:szCs w:val="20"/>
          <w:lang w:val="lv-LV" w:eastAsia="lv-LV"/>
          <w14:ligatures w14:val="none"/>
        </w:rPr>
        <w:t xml:space="preserve"> noteikumiem Nr.</w:t>
      </w:r>
      <w:r w:rsidR="00907273">
        <w:rPr>
          <w:rFonts w:ascii="Tahoma" w:eastAsia="Calibri" w:hAnsi="Tahoma" w:cs="Tahoma"/>
          <w:bCs/>
          <w:kern w:val="0"/>
          <w:sz w:val="20"/>
          <w:szCs w:val="20"/>
          <w:lang w:val="lv-LV" w:eastAsia="lv-LV"/>
          <w14:ligatures w14:val="none"/>
        </w:rPr>
        <w:t>652</w:t>
      </w:r>
      <w:r w:rsidR="00907273" w:rsidRPr="00570001">
        <w:rPr>
          <w:rFonts w:ascii="Tahoma" w:eastAsia="Calibri" w:hAnsi="Tahoma" w:cs="Tahoma"/>
          <w:bCs/>
          <w:kern w:val="0"/>
          <w:sz w:val="20"/>
          <w:szCs w:val="20"/>
          <w:lang w:val="lv-LV" w:eastAsia="lv-LV"/>
          <w14:ligatures w14:val="none"/>
        </w:rPr>
        <w:t xml:space="preserve"> </w:t>
      </w:r>
      <w:r w:rsidR="00F96130" w:rsidRPr="00B51C97">
        <w:rPr>
          <w:rFonts w:ascii="Tahoma" w:eastAsia="Calibri" w:hAnsi="Tahoma" w:cs="Tahoma"/>
          <w:bCs/>
          <w:iCs/>
          <w:kern w:val="0"/>
          <w:sz w:val="20"/>
          <w:szCs w:val="20"/>
          <w:lang w:val="lv-LV" w:eastAsia="lv-LV"/>
          <w14:ligatures w14:val="none"/>
        </w:rPr>
        <w:t>“</w:t>
      </w:r>
      <w:r w:rsidR="00907273" w:rsidRPr="00543AEE">
        <w:rPr>
          <w:rFonts w:ascii="Tahoma" w:eastAsia="Calibri" w:hAnsi="Tahoma" w:cs="Tahoma"/>
          <w:bCs/>
          <w:kern w:val="0"/>
          <w:sz w:val="20"/>
          <w:szCs w:val="20"/>
          <w:lang w:val="lv-LV" w:eastAsia="lv-LV"/>
          <w14:ligatures w14:val="none"/>
        </w:rPr>
        <w:t>Gada pārskata sagatavošanas kārtība</w:t>
      </w:r>
      <w:r w:rsidR="00907273" w:rsidRPr="00570001">
        <w:rPr>
          <w:rFonts w:ascii="Tahoma" w:eastAsia="Calibri" w:hAnsi="Tahoma" w:cs="Tahoma"/>
          <w:bCs/>
          <w:kern w:val="0"/>
          <w:sz w:val="20"/>
          <w:szCs w:val="20"/>
          <w:lang w:val="lv-LV" w:eastAsia="lv-LV"/>
          <w14:ligatures w14:val="none"/>
        </w:rPr>
        <w:t>”.</w:t>
      </w:r>
    </w:p>
    <w:p w14:paraId="748F4BD1" w14:textId="77777777" w:rsidR="00587487" w:rsidRPr="00B51C97" w:rsidRDefault="00000000" w:rsidP="00587487">
      <w:pPr>
        <w:autoSpaceDE w:val="0"/>
        <w:spacing w:before="240" w:after="240" w:line="276" w:lineRule="auto"/>
        <w:jc w:val="both"/>
        <w:rPr>
          <w:rFonts w:ascii="Tahoma" w:eastAsia="Calibri" w:hAnsi="Tahoma" w:cs="Tahoma"/>
          <w:b/>
          <w:bCs/>
          <w:kern w:val="0"/>
          <w:sz w:val="20"/>
          <w:szCs w:val="20"/>
          <w:lang w:val="lv-LV" w:eastAsia="lv-LV"/>
          <w14:ligatures w14:val="none"/>
        </w:rPr>
      </w:pPr>
      <w:r w:rsidRPr="00B51C97">
        <w:rPr>
          <w:rFonts w:ascii="Tahoma" w:eastAsia="Calibri" w:hAnsi="Tahoma" w:cs="Tahoma"/>
          <w:b/>
          <w:bCs/>
          <w:kern w:val="0"/>
          <w:sz w:val="20"/>
          <w:szCs w:val="20"/>
          <w:lang w:val="lv-LV" w:eastAsia="lv-LV"/>
          <w14:ligatures w14:val="none"/>
        </w:rPr>
        <w:t>Atzinuma ar iebildi pamatojums</w:t>
      </w:r>
    </w:p>
    <w:p w14:paraId="385C97F3" w14:textId="77777777" w:rsidR="00587487" w:rsidRPr="00B51C97" w:rsidRDefault="00000000" w:rsidP="00587487">
      <w:pPr>
        <w:spacing w:after="0" w:line="276" w:lineRule="auto"/>
        <w:jc w:val="both"/>
        <w:rPr>
          <w:rFonts w:ascii="Tahoma" w:eastAsia="Calibri" w:hAnsi="Tahoma" w:cs="Tahoma"/>
          <w:bCs/>
          <w:iCs/>
          <w:kern w:val="0"/>
          <w:sz w:val="20"/>
          <w:szCs w:val="20"/>
          <w:lang w:val="lv-LV" w:eastAsia="lv-LV"/>
          <w14:ligatures w14:val="none"/>
        </w:rPr>
      </w:pPr>
      <w:r w:rsidRPr="00B51C97">
        <w:rPr>
          <w:rFonts w:ascii="Tahoma" w:eastAsia="Calibri" w:hAnsi="Tahoma" w:cs="Tahoma"/>
          <w:bCs/>
          <w:iCs/>
          <w:kern w:val="0"/>
          <w:sz w:val="20"/>
          <w:szCs w:val="20"/>
          <w:lang w:val="lv-LV" w:eastAsia="lv-LV"/>
          <w14:ligatures w14:val="none"/>
        </w:rPr>
        <w:t>Kā norādīts Pašvaldības konsolidētajā pārskatā par Pašvaldības finansiālo stāvokli 202</w:t>
      </w:r>
      <w:r w:rsidR="00907273" w:rsidRPr="00B51C97">
        <w:rPr>
          <w:rFonts w:ascii="Tahoma" w:eastAsia="Calibri" w:hAnsi="Tahoma" w:cs="Tahoma"/>
          <w:bCs/>
          <w:iCs/>
          <w:kern w:val="0"/>
          <w:sz w:val="20"/>
          <w:szCs w:val="20"/>
          <w:lang w:val="lv-LV" w:eastAsia="lv-LV"/>
          <w14:ligatures w14:val="none"/>
        </w:rPr>
        <w:t>3</w:t>
      </w:r>
      <w:r w:rsidRPr="00B51C97">
        <w:rPr>
          <w:rFonts w:ascii="Tahoma" w:eastAsia="Calibri" w:hAnsi="Tahoma" w:cs="Tahoma"/>
          <w:bCs/>
          <w:iCs/>
          <w:kern w:val="0"/>
          <w:sz w:val="20"/>
          <w:szCs w:val="20"/>
          <w:lang w:val="lv-LV" w:eastAsia="lv-LV"/>
          <w14:ligatures w14:val="none"/>
        </w:rPr>
        <w:t xml:space="preserve">. gada 31. decembrī veidlapa “Bilance” zembilances piezīmē “Iespējamie aktīvi” iekļautas neprivatizēto pašvaldības dzīvokļu piekrītošās domājamās daļas un domājamās daļas no dzīvojamām mājām piekrītošajiem zemes gabaliem </w:t>
      </w:r>
      <w:r w:rsidR="00243FB2">
        <w:rPr>
          <w:rFonts w:ascii="Tahoma" w:eastAsia="Calibri" w:hAnsi="Tahoma" w:cs="Tahoma"/>
          <w:bCs/>
          <w:kern w:val="0"/>
          <w:sz w:val="20"/>
          <w:szCs w:val="20"/>
          <w:lang w:val="lv-LV" w:eastAsia="lv-LV"/>
          <w14:ligatures w14:val="none"/>
        </w:rPr>
        <w:t>kopējā</w:t>
      </w:r>
      <w:r w:rsidR="00243FB2" w:rsidRPr="005E1B96">
        <w:rPr>
          <w:rFonts w:ascii="Tahoma" w:eastAsia="Calibri" w:hAnsi="Tahoma" w:cs="Tahoma"/>
          <w:bCs/>
          <w:kern w:val="0"/>
          <w:sz w:val="20"/>
          <w:szCs w:val="20"/>
          <w:lang w:val="lv-LV" w:eastAsia="lv-LV"/>
          <w14:ligatures w14:val="none"/>
        </w:rPr>
        <w:t>  vērtībā</w:t>
      </w:r>
      <w:r w:rsidR="00243FB2">
        <w:rPr>
          <w:rFonts w:ascii="Tahoma" w:eastAsia="Calibri" w:hAnsi="Tahoma" w:cs="Tahoma"/>
          <w:bCs/>
          <w:kern w:val="0"/>
          <w:sz w:val="20"/>
          <w:szCs w:val="20"/>
          <w:lang w:val="lv-LV" w:eastAsia="lv-LV"/>
          <w14:ligatures w14:val="none"/>
        </w:rPr>
        <w:t xml:space="preserve"> 1694762</w:t>
      </w:r>
      <w:r w:rsidR="00243FB2" w:rsidRPr="005E1B96">
        <w:rPr>
          <w:rFonts w:ascii="Tahoma" w:eastAsia="Calibri" w:hAnsi="Tahoma" w:cs="Tahoma"/>
          <w:bCs/>
          <w:kern w:val="0"/>
          <w:sz w:val="20"/>
          <w:szCs w:val="20"/>
          <w:lang w:val="lv-LV" w:eastAsia="lv-LV"/>
          <w14:ligatures w14:val="none"/>
        </w:rPr>
        <w:t xml:space="preserve"> eiro</w:t>
      </w:r>
      <w:r w:rsidRPr="00B51C97">
        <w:rPr>
          <w:rFonts w:ascii="Tahoma" w:eastAsia="Calibri" w:hAnsi="Tahoma" w:cs="Tahoma"/>
          <w:bCs/>
          <w:iCs/>
          <w:kern w:val="0"/>
          <w:sz w:val="20"/>
          <w:szCs w:val="20"/>
          <w:lang w:val="lv-LV" w:eastAsia="lv-LV"/>
          <w14:ligatures w14:val="none"/>
        </w:rPr>
        <w:t xml:space="preserve">. </w:t>
      </w:r>
    </w:p>
    <w:p w14:paraId="533E050A" w14:textId="77777777" w:rsidR="00587487" w:rsidRPr="00B51C97" w:rsidRDefault="00000000" w:rsidP="00587487">
      <w:pPr>
        <w:spacing w:after="0" w:line="276" w:lineRule="auto"/>
        <w:jc w:val="both"/>
        <w:rPr>
          <w:rFonts w:ascii="Tahoma" w:eastAsia="Calibri" w:hAnsi="Tahoma" w:cs="Tahoma"/>
          <w:bCs/>
          <w:kern w:val="0"/>
          <w:sz w:val="20"/>
          <w:szCs w:val="20"/>
          <w:lang w:val="lv-LV" w:eastAsia="lv-LV"/>
          <w14:ligatures w14:val="none"/>
        </w:rPr>
      </w:pPr>
      <w:r w:rsidRPr="00B51C97">
        <w:rPr>
          <w:rFonts w:ascii="Tahoma" w:eastAsia="Calibri" w:hAnsi="Tahoma" w:cs="Tahoma"/>
          <w:bCs/>
          <w:iCs/>
          <w:kern w:val="0"/>
          <w:sz w:val="20"/>
          <w:szCs w:val="20"/>
          <w:lang w:val="lv-LV" w:eastAsia="lv-LV"/>
          <w14:ligatures w14:val="none"/>
        </w:rPr>
        <w:t>Minētajiem īpašumiem Valsts nekustamā īpašuma kadastra sistēmā nav izveidoti dzīvokļu īpašumi, bet tie Valsts nekustamā īpašuma kadastra sistēmā ir uzskaitīti Liepājas pilsētas pašvaldībai piederošo būvju nesadalītajās domājamās daļās. Pašvaldība, saskaņā ar iepriekš saskaņoto darba plānu un piešķirtā budžeta ietvaros, veic pakāpenisku pašvaldībai piederošo dzīvokļa īpašumu reģistrēšanu Valsts nekustamā īpašuma kadastra sistēmā un zemesgrāmatā, un aktualizē datus pašvaldības bilancē, vienlaikus izslēdzot izveidotajiem dzīvokļu īpašumiem piekrītošās domājamās daļas no Zembilances.</w:t>
      </w:r>
    </w:p>
    <w:p w14:paraId="0D544094" w14:textId="77777777" w:rsidR="00587487" w:rsidRPr="00B51C97" w:rsidRDefault="00000000" w:rsidP="00587487">
      <w:pPr>
        <w:spacing w:after="0" w:line="276" w:lineRule="auto"/>
        <w:jc w:val="both"/>
        <w:rPr>
          <w:rFonts w:ascii="Tahoma" w:eastAsia="Calibri" w:hAnsi="Tahoma" w:cs="Tahoma"/>
          <w:bCs/>
          <w:kern w:val="0"/>
          <w:sz w:val="20"/>
          <w:szCs w:val="20"/>
          <w:lang w:val="lv-LV" w:eastAsia="lv-LV"/>
          <w14:ligatures w14:val="none"/>
        </w:rPr>
      </w:pPr>
      <w:r w:rsidRPr="00B51C97">
        <w:rPr>
          <w:rFonts w:ascii="Tahoma" w:eastAsia="Calibri" w:hAnsi="Tahoma" w:cs="Tahoma"/>
          <w:bCs/>
          <w:iCs/>
          <w:kern w:val="0"/>
          <w:sz w:val="20"/>
          <w:szCs w:val="20"/>
          <w:lang w:val="lv-LV" w:eastAsia="lv-LV"/>
          <w14:ligatures w14:val="none"/>
        </w:rPr>
        <w:t>Tas ir pretrunā ar MK Noteikumu 87 “Grāmatvedības uzskaites kārtība budžeta iestādēs” 13.</w:t>
      </w:r>
      <w:r w:rsidR="00F96130">
        <w:rPr>
          <w:rFonts w:ascii="Tahoma" w:eastAsia="Calibri" w:hAnsi="Tahoma" w:cs="Tahoma"/>
          <w:bCs/>
          <w:iCs/>
          <w:kern w:val="0"/>
          <w:sz w:val="20"/>
          <w:szCs w:val="20"/>
          <w:lang w:val="lv-LV" w:eastAsia="lv-LV"/>
          <w14:ligatures w14:val="none"/>
        </w:rPr>
        <w:t xml:space="preserve"> </w:t>
      </w:r>
      <w:r w:rsidRPr="00B51C97">
        <w:rPr>
          <w:rFonts w:ascii="Tahoma" w:eastAsia="Calibri" w:hAnsi="Tahoma" w:cs="Tahoma"/>
          <w:bCs/>
          <w:iCs/>
          <w:kern w:val="0"/>
          <w:sz w:val="20"/>
          <w:szCs w:val="20"/>
          <w:lang w:val="lv-LV" w:eastAsia="lv-LV"/>
          <w14:ligatures w14:val="none"/>
        </w:rPr>
        <w:t>punkta prasībām, kas nosaka, ka budžeta iestādes uzskaita visus to īpašumā, valdījumā un turējumā esošos un piekrītošos ilgtermiņa ieguldījumus. </w:t>
      </w:r>
    </w:p>
    <w:p w14:paraId="743E2F7A" w14:textId="77777777" w:rsidR="00587487" w:rsidRPr="00587487" w:rsidRDefault="00000000" w:rsidP="00587487">
      <w:pPr>
        <w:spacing w:after="0" w:line="276" w:lineRule="auto"/>
        <w:jc w:val="both"/>
        <w:rPr>
          <w:rFonts w:ascii="Tahoma" w:eastAsia="Calibri" w:hAnsi="Tahoma" w:cs="Tahoma"/>
          <w:bCs/>
          <w:kern w:val="0"/>
          <w:sz w:val="20"/>
          <w:szCs w:val="20"/>
          <w:lang w:val="lv-LV" w:eastAsia="lv-LV"/>
          <w14:ligatures w14:val="none"/>
        </w:rPr>
      </w:pPr>
      <w:r w:rsidRPr="00B51C97">
        <w:rPr>
          <w:rFonts w:ascii="Tahoma" w:eastAsia="Calibri" w:hAnsi="Tahoma" w:cs="Tahoma"/>
          <w:bCs/>
          <w:iCs/>
          <w:kern w:val="0"/>
          <w:sz w:val="20"/>
          <w:szCs w:val="20"/>
          <w:lang w:val="lv-LV" w:eastAsia="lv-LV"/>
          <w14:ligatures w14:val="none"/>
        </w:rPr>
        <w:t>Līdzīgi apstākļi bija spēkā arī iepriekšējos gadus, un mūsu sniegtajos</w:t>
      </w:r>
      <w:r w:rsidRPr="00587487">
        <w:rPr>
          <w:rFonts w:ascii="Tahoma" w:eastAsia="Calibri" w:hAnsi="Tahoma" w:cs="Tahoma"/>
          <w:bCs/>
          <w:iCs/>
          <w:kern w:val="0"/>
          <w:sz w:val="20"/>
          <w:szCs w:val="20"/>
          <w:lang w:val="lv-LV" w:eastAsia="lv-LV"/>
          <w14:ligatures w14:val="none"/>
        </w:rPr>
        <w:t xml:space="preserve"> atzinumos saistībā ar šo jautājumu tika iekļautas attiecīgās iebildes.</w:t>
      </w:r>
    </w:p>
    <w:p w14:paraId="10B040A0"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lastRenderedPageBreak/>
        <w:t>Saskaņā ar Revīzijas pakalpojumu likumu, mēs veicām revīziju ievērojot Latvijā atzītos starptautiskos publiskā</w:t>
      </w:r>
      <w:r w:rsidRPr="00587487">
        <w:rPr>
          <w:rFonts w:ascii="Tahoma" w:eastAsia="Calibri" w:hAnsi="Tahoma" w:cs="Tahoma"/>
          <w:kern w:val="0"/>
          <w:sz w:val="20"/>
          <w:szCs w:val="20"/>
          <w:lang w:val="lv-LV"/>
          <w14:ligatures w14:val="none"/>
        </w:rPr>
        <w:t xml:space="preserve"> sektora revīzijas </w:t>
      </w:r>
      <w:r w:rsidRPr="00587487">
        <w:rPr>
          <w:rFonts w:ascii="Tahoma" w:eastAsia="Calibri" w:hAnsi="Tahoma" w:cs="Tahoma"/>
          <w:bCs/>
          <w:kern w:val="0"/>
          <w:sz w:val="20"/>
          <w:szCs w:val="20"/>
          <w:lang w:val="lv-LV" w:eastAsia="lv-LV"/>
          <w14:ligatures w14:val="none"/>
        </w:rPr>
        <w:t>standartus (</w:t>
      </w:r>
      <w:r w:rsidRPr="00587487">
        <w:rPr>
          <w:rFonts w:ascii="Tahoma" w:eastAsia="Calibri" w:hAnsi="Tahoma" w:cs="Tahoma"/>
          <w:kern w:val="0"/>
          <w:sz w:val="20"/>
          <w:szCs w:val="20"/>
          <w:lang w:val="lv-LV"/>
          <w14:ligatures w14:val="none"/>
        </w:rPr>
        <w:t>turpmāk - ISSAI</w:t>
      </w:r>
      <w:r w:rsidRPr="00587487">
        <w:rPr>
          <w:rFonts w:ascii="Tahoma" w:eastAsia="Calibri" w:hAnsi="Tahoma" w:cs="Tahoma"/>
          <w:bCs/>
          <w:kern w:val="0"/>
          <w:sz w:val="20"/>
          <w:szCs w:val="20"/>
          <w:lang w:val="lv-LV" w:eastAsia="lv-LV"/>
          <w14:ligatures w14:val="none"/>
        </w:rPr>
        <w:t>). Mūsu pienākumi, kas noteikti šajos standartos, tālāk izklāstīti mūsu ziņojuma sadaļā “Revidenta atbildība par finanšu pārskata revīziju”.</w:t>
      </w:r>
    </w:p>
    <w:p w14:paraId="54AC03C7"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Mēs esam neatkarīgi no Pašvaldības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Mēs esam ievērojuši arī Revīzijas pakalpojumu likumā un Starptautiskā Profesionālu grāmatvežu ētikas kodeksā (tostarp Starptautiskajos Neatkarības standartos) noteiktos pārējos profesionālās ētikas principus un objektivitātes prasības.</w:t>
      </w:r>
    </w:p>
    <w:p w14:paraId="6619D856"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Mēs uzskatām, ka mūsu iegūtie revīzijas pierādījumi dod pietiekamu un atbilstošu pamatojumu mūsu atzinumam ar iebildi. </w:t>
      </w:r>
    </w:p>
    <w:p w14:paraId="088D3C6E"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
          <w:bCs/>
          <w:kern w:val="0"/>
          <w:sz w:val="20"/>
          <w:szCs w:val="20"/>
          <w:lang w:val="lv-LV" w:eastAsia="lv-LV"/>
          <w14:ligatures w14:val="none"/>
        </w:rPr>
        <w:t>Ziņošana par citu informāciju</w:t>
      </w:r>
    </w:p>
    <w:p w14:paraId="2D53EBA1"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Pašvaldības vadība ir atbildīga par citu informāciju. Cita informācija ietver:</w:t>
      </w:r>
    </w:p>
    <w:p w14:paraId="078344A7" w14:textId="77777777" w:rsidR="00587487" w:rsidRPr="00587487" w:rsidRDefault="00000000" w:rsidP="00587487">
      <w:pPr>
        <w:numPr>
          <w:ilvl w:val="0"/>
          <w:numId w:val="6"/>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vadības ziņojumu, kas sniegts pievienotajā gada pārskatā;</w:t>
      </w:r>
    </w:p>
    <w:p w14:paraId="51ED60E1" w14:textId="77777777" w:rsidR="00587487" w:rsidRPr="00587487" w:rsidRDefault="00000000" w:rsidP="00587487">
      <w:pPr>
        <w:numPr>
          <w:ilvl w:val="0"/>
          <w:numId w:val="6"/>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budžeta izpildes </w:t>
      </w:r>
      <w:r>
        <w:rPr>
          <w:rFonts w:ascii="Tahoma" w:eastAsia="Calibri" w:hAnsi="Tahoma" w:cs="Tahoma"/>
          <w:bCs/>
          <w:kern w:val="0"/>
          <w:sz w:val="20"/>
          <w:szCs w:val="20"/>
          <w:lang w:val="lv-LV" w:eastAsia="lv-LV"/>
          <w14:ligatures w14:val="none"/>
        </w:rPr>
        <w:t>skaidrojumu</w:t>
      </w:r>
      <w:r w:rsidRPr="00587487">
        <w:rPr>
          <w:rFonts w:ascii="Tahoma" w:eastAsia="Calibri" w:hAnsi="Tahoma" w:cs="Tahoma"/>
          <w:bCs/>
          <w:kern w:val="0"/>
          <w:sz w:val="20"/>
          <w:szCs w:val="20"/>
          <w:lang w:val="lv-LV" w:eastAsia="lv-LV"/>
          <w14:ligatures w14:val="none"/>
        </w:rPr>
        <w:t>, kas sniegts pievienotajā gada pārskatā.</w:t>
      </w:r>
    </w:p>
    <w:p w14:paraId="1AAA8A02"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Cita informācija neietver finanšu pārskatu un mūsu revidentu ziņojumu par šo finanšu pārskatu. Mūsu atzinums par finanšu pārskatu neattiecas uz šo citu informāciju, un mēs nesniedzam par to nekāda veida apliecinājumu, izņemot to, kā norādīts mūsu ziņojuma sadaļā “</w:t>
      </w:r>
      <w:r w:rsidRPr="00587487">
        <w:rPr>
          <w:rFonts w:ascii="Tahoma" w:eastAsia="Calibri" w:hAnsi="Tahoma" w:cs="Tahoma"/>
          <w:bCs/>
          <w:i/>
          <w:kern w:val="0"/>
          <w:sz w:val="20"/>
          <w:szCs w:val="20"/>
          <w:lang w:val="lv-LV" w:eastAsia="lv-LV"/>
          <w14:ligatures w14:val="none"/>
        </w:rPr>
        <w:t>Citas ziņošanas prasības saskaņā ar Latvijas Republikas tiesību aktu prasībām”</w:t>
      </w:r>
      <w:r w:rsidRPr="00587487">
        <w:rPr>
          <w:rFonts w:ascii="Tahoma" w:eastAsia="Calibri" w:hAnsi="Tahoma" w:cs="Tahoma"/>
          <w:bCs/>
          <w:kern w:val="0"/>
          <w:sz w:val="20"/>
          <w:szCs w:val="20"/>
          <w:lang w:val="lv-LV" w:eastAsia="lv-LV"/>
          <w14:ligatures w14:val="none"/>
        </w:rPr>
        <w:t>.</w:t>
      </w:r>
    </w:p>
    <w:p w14:paraId="1B7D2248"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Saistībā ar finanšu pārskata revīziju mūsu pienākums ir iepazīties ar citu informāciju un, to darot, izvērtēt, vai šī cita informācija būtiski neatšķiras no finanšu pārskata vai no mūsu revīzijas gaitā iegūtajām zināšanām un vai tā nesatur cita veida būtiskas neatbilstības.</w:t>
      </w:r>
    </w:p>
    <w:p w14:paraId="2A98D66F"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Ja, pamatojoties uz veikto darbu un ņemot vērā revīzijas laikā gūtās zināšanas un izpratni par Pašvaldībai un tās darbības vidi, mēs secinām, ka citā informācijā ir būtiskas neatbilstības, mūsu pienākums ir par to ziņot. Mūsu uzmanības lokā nav nonākuši nekādi apstākļi, par kuriem šajā sakarā būtu jāziņo.</w:t>
      </w:r>
    </w:p>
    <w:p w14:paraId="44673598"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i/>
          <w:kern w:val="0"/>
          <w:sz w:val="20"/>
          <w:szCs w:val="20"/>
          <w:lang w:val="lv-LV" w:eastAsia="lv-LV"/>
          <w14:ligatures w14:val="none"/>
        </w:rPr>
        <w:t>Citas ziņošanas prasības saskaņā ar Latvijas Republikas tiesību aktu prasībām</w:t>
      </w:r>
    </w:p>
    <w:p w14:paraId="467FD6D2" w14:textId="77777777" w:rsidR="00587487" w:rsidRPr="00587487" w:rsidRDefault="00000000" w:rsidP="00587487">
      <w:pPr>
        <w:autoSpaceDE w:val="0"/>
        <w:spacing w:before="240" w:after="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Saskaņā ar Revīzijas pakalpojumu likumu, mūsu pienākums ir arī izvērtēt, vai vadības ziņojums ir sagatavots saskaņā ar </w:t>
      </w:r>
      <w:r w:rsidR="00907273" w:rsidRPr="00587487">
        <w:rPr>
          <w:rFonts w:ascii="Tahoma" w:eastAsia="Calibri" w:hAnsi="Tahoma" w:cs="Tahoma"/>
          <w:bCs/>
          <w:kern w:val="0"/>
          <w:sz w:val="20"/>
          <w:szCs w:val="20"/>
          <w:lang w:val="lv-LV" w:eastAsia="lv-LV"/>
          <w14:ligatures w14:val="none"/>
        </w:rPr>
        <w:t xml:space="preserve">Ministru Kabineta </w:t>
      </w:r>
      <w:r w:rsidR="00907273" w:rsidRPr="00570001">
        <w:rPr>
          <w:rFonts w:ascii="Tahoma" w:eastAsia="Calibri" w:hAnsi="Tahoma" w:cs="Tahoma"/>
          <w:bCs/>
          <w:kern w:val="0"/>
          <w:sz w:val="20"/>
          <w:szCs w:val="20"/>
          <w:lang w:val="lv-LV" w:eastAsia="lv-LV"/>
          <w14:ligatures w14:val="none"/>
        </w:rPr>
        <w:t>20</w:t>
      </w:r>
      <w:r w:rsidR="00907273">
        <w:rPr>
          <w:rFonts w:ascii="Tahoma" w:eastAsia="Calibri" w:hAnsi="Tahoma" w:cs="Tahoma"/>
          <w:bCs/>
          <w:kern w:val="0"/>
          <w:sz w:val="20"/>
          <w:szCs w:val="20"/>
          <w:lang w:val="lv-LV" w:eastAsia="lv-LV"/>
          <w14:ligatures w14:val="none"/>
        </w:rPr>
        <w:t>21</w:t>
      </w:r>
      <w:r w:rsidR="00907273" w:rsidRPr="00570001">
        <w:rPr>
          <w:rFonts w:ascii="Tahoma" w:eastAsia="Calibri" w:hAnsi="Tahoma" w:cs="Tahoma"/>
          <w:bCs/>
          <w:kern w:val="0"/>
          <w:sz w:val="20"/>
          <w:szCs w:val="20"/>
          <w:lang w:val="lv-LV" w:eastAsia="lv-LV"/>
          <w14:ligatures w14:val="none"/>
        </w:rPr>
        <w:t xml:space="preserve">. gada </w:t>
      </w:r>
      <w:r w:rsidR="00907273">
        <w:rPr>
          <w:rFonts w:ascii="Tahoma" w:eastAsia="Calibri" w:hAnsi="Tahoma" w:cs="Tahoma"/>
          <w:bCs/>
          <w:kern w:val="0"/>
          <w:sz w:val="20"/>
          <w:szCs w:val="20"/>
          <w:lang w:val="lv-LV" w:eastAsia="lv-LV"/>
          <w14:ligatures w14:val="none"/>
        </w:rPr>
        <w:t>28.</w:t>
      </w:r>
      <w:r w:rsidR="00F96130">
        <w:rPr>
          <w:rFonts w:ascii="Tahoma" w:eastAsia="Calibri" w:hAnsi="Tahoma" w:cs="Tahoma"/>
          <w:bCs/>
          <w:kern w:val="0"/>
          <w:sz w:val="20"/>
          <w:szCs w:val="20"/>
          <w:lang w:val="lv-LV" w:eastAsia="lv-LV"/>
          <w14:ligatures w14:val="none"/>
        </w:rPr>
        <w:t xml:space="preserve"> </w:t>
      </w:r>
      <w:r w:rsidR="00907273">
        <w:rPr>
          <w:rFonts w:ascii="Tahoma" w:eastAsia="Calibri" w:hAnsi="Tahoma" w:cs="Tahoma"/>
          <w:bCs/>
          <w:kern w:val="0"/>
          <w:sz w:val="20"/>
          <w:szCs w:val="20"/>
          <w:lang w:val="lv-LV" w:eastAsia="lv-LV"/>
          <w14:ligatures w14:val="none"/>
        </w:rPr>
        <w:t>septembra</w:t>
      </w:r>
      <w:r w:rsidR="00907273" w:rsidRPr="00570001">
        <w:rPr>
          <w:rFonts w:ascii="Tahoma" w:eastAsia="Calibri" w:hAnsi="Tahoma" w:cs="Tahoma"/>
          <w:bCs/>
          <w:kern w:val="0"/>
          <w:sz w:val="20"/>
          <w:szCs w:val="20"/>
          <w:lang w:val="lv-LV" w:eastAsia="lv-LV"/>
          <w14:ligatures w14:val="none"/>
        </w:rPr>
        <w:t xml:space="preserve"> noteikumiem Nr.</w:t>
      </w:r>
      <w:r w:rsidR="00907273">
        <w:rPr>
          <w:rFonts w:ascii="Tahoma" w:eastAsia="Calibri" w:hAnsi="Tahoma" w:cs="Tahoma"/>
          <w:bCs/>
          <w:kern w:val="0"/>
          <w:sz w:val="20"/>
          <w:szCs w:val="20"/>
          <w:lang w:val="lv-LV" w:eastAsia="lv-LV"/>
          <w14:ligatures w14:val="none"/>
        </w:rPr>
        <w:t>652</w:t>
      </w:r>
      <w:r w:rsidR="00907273" w:rsidRPr="00570001">
        <w:rPr>
          <w:rFonts w:ascii="Tahoma" w:eastAsia="Calibri" w:hAnsi="Tahoma" w:cs="Tahoma"/>
          <w:bCs/>
          <w:kern w:val="0"/>
          <w:sz w:val="20"/>
          <w:szCs w:val="20"/>
          <w:lang w:val="lv-LV" w:eastAsia="lv-LV"/>
          <w14:ligatures w14:val="none"/>
        </w:rPr>
        <w:t xml:space="preserve"> </w:t>
      </w:r>
      <w:r w:rsidR="00F96130" w:rsidRPr="00B51C97">
        <w:rPr>
          <w:rFonts w:ascii="Tahoma" w:eastAsia="Calibri" w:hAnsi="Tahoma" w:cs="Tahoma"/>
          <w:bCs/>
          <w:iCs/>
          <w:kern w:val="0"/>
          <w:sz w:val="20"/>
          <w:szCs w:val="20"/>
          <w:lang w:val="lv-LV" w:eastAsia="lv-LV"/>
          <w14:ligatures w14:val="none"/>
        </w:rPr>
        <w:t>“</w:t>
      </w:r>
      <w:r w:rsidR="00907273" w:rsidRPr="00543AEE">
        <w:rPr>
          <w:rFonts w:ascii="Tahoma" w:eastAsia="Calibri" w:hAnsi="Tahoma" w:cs="Tahoma"/>
          <w:bCs/>
          <w:kern w:val="0"/>
          <w:sz w:val="20"/>
          <w:szCs w:val="20"/>
          <w:lang w:val="lv-LV" w:eastAsia="lv-LV"/>
          <w14:ligatures w14:val="none"/>
        </w:rPr>
        <w:t>Gada pārskata sagatavošanas kārtība</w:t>
      </w:r>
      <w:r w:rsidR="00907273" w:rsidRPr="00570001">
        <w:rPr>
          <w:rFonts w:ascii="Tahoma" w:eastAsia="Calibri" w:hAnsi="Tahoma" w:cs="Tahoma"/>
          <w:bCs/>
          <w:kern w:val="0"/>
          <w:sz w:val="20"/>
          <w:szCs w:val="20"/>
          <w:lang w:val="lv-LV" w:eastAsia="lv-LV"/>
          <w14:ligatures w14:val="none"/>
        </w:rPr>
        <w:t>”</w:t>
      </w:r>
      <w:r w:rsidRPr="00587487">
        <w:rPr>
          <w:rFonts w:ascii="Tahoma" w:eastAsia="Calibri" w:hAnsi="Tahoma" w:cs="Tahoma"/>
          <w:kern w:val="0"/>
          <w:sz w:val="20"/>
          <w:szCs w:val="20"/>
          <w:lang w:val="lv-LV" w:eastAsia="lv-LV"/>
          <w14:ligatures w14:val="none"/>
        </w:rPr>
        <w:t xml:space="preserve"> prasībām.</w:t>
      </w:r>
      <w:r w:rsidRPr="00587487">
        <w:rPr>
          <w:rFonts w:ascii="Tahoma" w:eastAsia="Calibri" w:hAnsi="Tahoma" w:cs="Tahoma"/>
          <w:bCs/>
          <w:kern w:val="0"/>
          <w:sz w:val="20"/>
          <w:szCs w:val="20"/>
          <w:lang w:val="lv-LV" w:eastAsia="lv-LV"/>
          <w14:ligatures w14:val="none"/>
        </w:rPr>
        <w:t xml:space="preserve"> Pamatojoties vienīgi uz mūsu revīzijas ietvaros veiktajām procedūrām, mūsuprāt:</w:t>
      </w:r>
    </w:p>
    <w:p w14:paraId="3160FE85" w14:textId="77777777" w:rsidR="00587487" w:rsidRPr="00587487" w:rsidRDefault="00000000" w:rsidP="00587487">
      <w:pPr>
        <w:numPr>
          <w:ilvl w:val="0"/>
          <w:numId w:val="7"/>
        </w:numPr>
        <w:spacing w:before="120" w:after="0" w:line="276" w:lineRule="auto"/>
        <w:ind w:left="0" w:firstLine="0"/>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vadības ziņojumā par pārskata gadu, par kuru ir sagatavots finanšu pārskats, sniegtā informācija atbilst finanšu pārskatam, un</w:t>
      </w:r>
    </w:p>
    <w:p w14:paraId="7111120D" w14:textId="77777777" w:rsidR="00587487" w:rsidRPr="00587487" w:rsidRDefault="00000000" w:rsidP="00587487">
      <w:pPr>
        <w:numPr>
          <w:ilvl w:val="0"/>
          <w:numId w:val="7"/>
        </w:numPr>
        <w:suppressAutoHyphens/>
        <w:autoSpaceDE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vadības ziņojums ir sagatavots saskaņā ar </w:t>
      </w:r>
      <w:r w:rsidR="00907273" w:rsidRPr="00587487">
        <w:rPr>
          <w:rFonts w:ascii="Tahoma" w:eastAsia="Calibri" w:hAnsi="Tahoma" w:cs="Tahoma"/>
          <w:bCs/>
          <w:kern w:val="0"/>
          <w:sz w:val="20"/>
          <w:szCs w:val="20"/>
          <w:lang w:val="lv-LV" w:eastAsia="lv-LV"/>
          <w14:ligatures w14:val="none"/>
        </w:rPr>
        <w:t xml:space="preserve">Ministru Kabineta </w:t>
      </w:r>
      <w:r w:rsidR="00907273" w:rsidRPr="00570001">
        <w:rPr>
          <w:rFonts w:ascii="Tahoma" w:eastAsia="Calibri" w:hAnsi="Tahoma" w:cs="Tahoma"/>
          <w:bCs/>
          <w:kern w:val="0"/>
          <w:sz w:val="20"/>
          <w:szCs w:val="20"/>
          <w:lang w:val="lv-LV" w:eastAsia="lv-LV"/>
          <w14:ligatures w14:val="none"/>
        </w:rPr>
        <w:t>20</w:t>
      </w:r>
      <w:r w:rsidR="00907273">
        <w:rPr>
          <w:rFonts w:ascii="Tahoma" w:eastAsia="Calibri" w:hAnsi="Tahoma" w:cs="Tahoma"/>
          <w:bCs/>
          <w:kern w:val="0"/>
          <w:sz w:val="20"/>
          <w:szCs w:val="20"/>
          <w:lang w:val="lv-LV" w:eastAsia="lv-LV"/>
          <w14:ligatures w14:val="none"/>
        </w:rPr>
        <w:t>21</w:t>
      </w:r>
      <w:r w:rsidR="00907273" w:rsidRPr="00570001">
        <w:rPr>
          <w:rFonts w:ascii="Tahoma" w:eastAsia="Calibri" w:hAnsi="Tahoma" w:cs="Tahoma"/>
          <w:bCs/>
          <w:kern w:val="0"/>
          <w:sz w:val="20"/>
          <w:szCs w:val="20"/>
          <w:lang w:val="lv-LV" w:eastAsia="lv-LV"/>
          <w14:ligatures w14:val="none"/>
        </w:rPr>
        <w:t xml:space="preserve">. gada </w:t>
      </w:r>
      <w:r w:rsidR="00907273">
        <w:rPr>
          <w:rFonts w:ascii="Tahoma" w:eastAsia="Calibri" w:hAnsi="Tahoma" w:cs="Tahoma"/>
          <w:bCs/>
          <w:kern w:val="0"/>
          <w:sz w:val="20"/>
          <w:szCs w:val="20"/>
          <w:lang w:val="lv-LV" w:eastAsia="lv-LV"/>
          <w14:ligatures w14:val="none"/>
        </w:rPr>
        <w:t>28.</w:t>
      </w:r>
      <w:r w:rsidR="003A3ECB">
        <w:rPr>
          <w:rFonts w:ascii="Tahoma" w:eastAsia="Calibri" w:hAnsi="Tahoma" w:cs="Tahoma"/>
          <w:bCs/>
          <w:kern w:val="0"/>
          <w:sz w:val="20"/>
          <w:szCs w:val="20"/>
          <w:lang w:val="lv-LV" w:eastAsia="lv-LV"/>
          <w14:ligatures w14:val="none"/>
        </w:rPr>
        <w:t xml:space="preserve"> </w:t>
      </w:r>
      <w:r w:rsidR="00907273">
        <w:rPr>
          <w:rFonts w:ascii="Tahoma" w:eastAsia="Calibri" w:hAnsi="Tahoma" w:cs="Tahoma"/>
          <w:bCs/>
          <w:kern w:val="0"/>
          <w:sz w:val="20"/>
          <w:szCs w:val="20"/>
          <w:lang w:val="lv-LV" w:eastAsia="lv-LV"/>
          <w14:ligatures w14:val="none"/>
        </w:rPr>
        <w:t>septembra</w:t>
      </w:r>
      <w:r w:rsidR="00907273" w:rsidRPr="00570001">
        <w:rPr>
          <w:rFonts w:ascii="Tahoma" w:eastAsia="Calibri" w:hAnsi="Tahoma" w:cs="Tahoma"/>
          <w:bCs/>
          <w:kern w:val="0"/>
          <w:sz w:val="20"/>
          <w:szCs w:val="20"/>
          <w:lang w:val="lv-LV" w:eastAsia="lv-LV"/>
          <w14:ligatures w14:val="none"/>
        </w:rPr>
        <w:t xml:space="preserve"> noteikumiem Nr.</w:t>
      </w:r>
      <w:r w:rsidR="00907273">
        <w:rPr>
          <w:rFonts w:ascii="Tahoma" w:eastAsia="Calibri" w:hAnsi="Tahoma" w:cs="Tahoma"/>
          <w:bCs/>
          <w:kern w:val="0"/>
          <w:sz w:val="20"/>
          <w:szCs w:val="20"/>
          <w:lang w:val="lv-LV" w:eastAsia="lv-LV"/>
          <w14:ligatures w14:val="none"/>
        </w:rPr>
        <w:t>652</w:t>
      </w:r>
      <w:r w:rsidR="00907273" w:rsidRPr="00570001">
        <w:rPr>
          <w:rFonts w:ascii="Tahoma" w:eastAsia="Calibri" w:hAnsi="Tahoma" w:cs="Tahoma"/>
          <w:bCs/>
          <w:kern w:val="0"/>
          <w:sz w:val="20"/>
          <w:szCs w:val="20"/>
          <w:lang w:val="lv-LV" w:eastAsia="lv-LV"/>
          <w14:ligatures w14:val="none"/>
        </w:rPr>
        <w:t xml:space="preserve"> </w:t>
      </w:r>
      <w:r w:rsidR="00F96130" w:rsidRPr="00B51C97">
        <w:rPr>
          <w:rFonts w:ascii="Tahoma" w:eastAsia="Calibri" w:hAnsi="Tahoma" w:cs="Tahoma"/>
          <w:bCs/>
          <w:iCs/>
          <w:kern w:val="0"/>
          <w:sz w:val="20"/>
          <w:szCs w:val="20"/>
          <w:lang w:val="lv-LV" w:eastAsia="lv-LV"/>
          <w14:ligatures w14:val="none"/>
        </w:rPr>
        <w:t>“</w:t>
      </w:r>
      <w:r w:rsidR="00907273" w:rsidRPr="00543AEE">
        <w:rPr>
          <w:rFonts w:ascii="Tahoma" w:eastAsia="Calibri" w:hAnsi="Tahoma" w:cs="Tahoma"/>
          <w:bCs/>
          <w:kern w:val="0"/>
          <w:sz w:val="20"/>
          <w:szCs w:val="20"/>
          <w:lang w:val="lv-LV" w:eastAsia="lv-LV"/>
          <w14:ligatures w14:val="none"/>
        </w:rPr>
        <w:t>Gada pārskata sagatavošanas kārtība</w:t>
      </w:r>
      <w:r w:rsidRPr="00587487">
        <w:rPr>
          <w:rFonts w:ascii="Tahoma" w:eastAsia="Calibri" w:hAnsi="Tahoma" w:cs="Tahoma"/>
          <w:bCs/>
          <w:kern w:val="0"/>
          <w:sz w:val="20"/>
          <w:szCs w:val="20"/>
          <w:lang w:val="lv-LV" w:eastAsia="lv-LV"/>
          <w14:ligatures w14:val="none"/>
        </w:rPr>
        <w:t xml:space="preserve">” prasībām. </w:t>
      </w:r>
      <w:bookmarkStart w:id="0" w:name="_Hlt123459733"/>
      <w:bookmarkStart w:id="1" w:name="_Hlt123459739"/>
      <w:bookmarkStart w:id="2" w:name="_Hlt123460032"/>
    </w:p>
    <w:p w14:paraId="36EE5F7B" w14:textId="77777777" w:rsidR="00587487" w:rsidRPr="00F96130" w:rsidRDefault="00587487" w:rsidP="00587487">
      <w:pPr>
        <w:suppressAutoHyphens/>
        <w:autoSpaceDE w:val="0"/>
        <w:spacing w:line="276" w:lineRule="auto"/>
        <w:contextualSpacing/>
        <w:jc w:val="both"/>
        <w:rPr>
          <w:rFonts w:ascii="Tahoma" w:eastAsia="Calibri" w:hAnsi="Tahoma" w:cs="Tahoma"/>
          <w:bCs/>
          <w:kern w:val="0"/>
          <w:sz w:val="16"/>
          <w:szCs w:val="16"/>
          <w:lang w:val="lv-LV" w:eastAsia="lv-LV"/>
          <w14:ligatures w14:val="none"/>
        </w:rPr>
      </w:pPr>
    </w:p>
    <w:p w14:paraId="71D1B4BE"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
          <w:bCs/>
          <w:kern w:val="0"/>
          <w:sz w:val="20"/>
          <w:szCs w:val="20"/>
          <w:lang w:val="lv-LV" w:eastAsia="lv-LV"/>
          <w14:ligatures w14:val="none"/>
        </w:rPr>
        <w:t>Vadības un personu, kurām uzticēta Pašvaldības pārvalde, atbildība par finanšu pārskatu</w:t>
      </w:r>
    </w:p>
    <w:bookmarkEnd w:id="0"/>
    <w:bookmarkEnd w:id="1"/>
    <w:bookmarkEnd w:id="2"/>
    <w:p w14:paraId="150FCCAB"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Vadība ir atbildīga par finanšu pārskata, kas sniedz patiesu un skaidru priekšstatu, sagatavošanu saskaņā ar </w:t>
      </w:r>
      <w:r w:rsidR="00907273" w:rsidRPr="00587487">
        <w:rPr>
          <w:rFonts w:ascii="Tahoma" w:eastAsia="Calibri" w:hAnsi="Tahoma" w:cs="Tahoma"/>
          <w:bCs/>
          <w:kern w:val="0"/>
          <w:sz w:val="20"/>
          <w:szCs w:val="20"/>
          <w:lang w:val="lv-LV" w:eastAsia="lv-LV"/>
          <w14:ligatures w14:val="none"/>
        </w:rPr>
        <w:t xml:space="preserve">Ministru Kabineta </w:t>
      </w:r>
      <w:r w:rsidR="00907273" w:rsidRPr="00570001">
        <w:rPr>
          <w:rFonts w:ascii="Tahoma" w:eastAsia="Calibri" w:hAnsi="Tahoma" w:cs="Tahoma"/>
          <w:bCs/>
          <w:kern w:val="0"/>
          <w:sz w:val="20"/>
          <w:szCs w:val="20"/>
          <w:lang w:val="lv-LV" w:eastAsia="lv-LV"/>
          <w14:ligatures w14:val="none"/>
        </w:rPr>
        <w:t>20</w:t>
      </w:r>
      <w:r w:rsidR="00907273">
        <w:rPr>
          <w:rFonts w:ascii="Tahoma" w:eastAsia="Calibri" w:hAnsi="Tahoma" w:cs="Tahoma"/>
          <w:bCs/>
          <w:kern w:val="0"/>
          <w:sz w:val="20"/>
          <w:szCs w:val="20"/>
          <w:lang w:val="lv-LV" w:eastAsia="lv-LV"/>
          <w14:ligatures w14:val="none"/>
        </w:rPr>
        <w:t>21</w:t>
      </w:r>
      <w:r w:rsidR="00907273" w:rsidRPr="00570001">
        <w:rPr>
          <w:rFonts w:ascii="Tahoma" w:eastAsia="Calibri" w:hAnsi="Tahoma" w:cs="Tahoma"/>
          <w:bCs/>
          <w:kern w:val="0"/>
          <w:sz w:val="20"/>
          <w:szCs w:val="20"/>
          <w:lang w:val="lv-LV" w:eastAsia="lv-LV"/>
          <w14:ligatures w14:val="none"/>
        </w:rPr>
        <w:t xml:space="preserve">. gada </w:t>
      </w:r>
      <w:r w:rsidR="00907273">
        <w:rPr>
          <w:rFonts w:ascii="Tahoma" w:eastAsia="Calibri" w:hAnsi="Tahoma" w:cs="Tahoma"/>
          <w:bCs/>
          <w:kern w:val="0"/>
          <w:sz w:val="20"/>
          <w:szCs w:val="20"/>
          <w:lang w:val="lv-LV" w:eastAsia="lv-LV"/>
          <w14:ligatures w14:val="none"/>
        </w:rPr>
        <w:t>28.</w:t>
      </w:r>
      <w:r w:rsidR="00F96130">
        <w:rPr>
          <w:rFonts w:ascii="Tahoma" w:eastAsia="Calibri" w:hAnsi="Tahoma" w:cs="Tahoma"/>
          <w:bCs/>
          <w:kern w:val="0"/>
          <w:sz w:val="20"/>
          <w:szCs w:val="20"/>
          <w:lang w:val="lv-LV" w:eastAsia="lv-LV"/>
          <w14:ligatures w14:val="none"/>
        </w:rPr>
        <w:t xml:space="preserve"> </w:t>
      </w:r>
      <w:r w:rsidR="00907273">
        <w:rPr>
          <w:rFonts w:ascii="Tahoma" w:eastAsia="Calibri" w:hAnsi="Tahoma" w:cs="Tahoma"/>
          <w:bCs/>
          <w:kern w:val="0"/>
          <w:sz w:val="20"/>
          <w:szCs w:val="20"/>
          <w:lang w:val="lv-LV" w:eastAsia="lv-LV"/>
          <w14:ligatures w14:val="none"/>
        </w:rPr>
        <w:t>septembra</w:t>
      </w:r>
      <w:r w:rsidR="00907273" w:rsidRPr="00570001">
        <w:rPr>
          <w:rFonts w:ascii="Tahoma" w:eastAsia="Calibri" w:hAnsi="Tahoma" w:cs="Tahoma"/>
          <w:bCs/>
          <w:kern w:val="0"/>
          <w:sz w:val="20"/>
          <w:szCs w:val="20"/>
          <w:lang w:val="lv-LV" w:eastAsia="lv-LV"/>
          <w14:ligatures w14:val="none"/>
        </w:rPr>
        <w:t xml:space="preserve"> noteikumiem Nr.</w:t>
      </w:r>
      <w:r w:rsidR="00907273">
        <w:rPr>
          <w:rFonts w:ascii="Tahoma" w:eastAsia="Calibri" w:hAnsi="Tahoma" w:cs="Tahoma"/>
          <w:bCs/>
          <w:kern w:val="0"/>
          <w:sz w:val="20"/>
          <w:szCs w:val="20"/>
          <w:lang w:val="lv-LV" w:eastAsia="lv-LV"/>
          <w14:ligatures w14:val="none"/>
        </w:rPr>
        <w:t>652</w:t>
      </w:r>
      <w:r w:rsidR="00907273" w:rsidRPr="00570001">
        <w:rPr>
          <w:rFonts w:ascii="Tahoma" w:eastAsia="Calibri" w:hAnsi="Tahoma" w:cs="Tahoma"/>
          <w:bCs/>
          <w:kern w:val="0"/>
          <w:sz w:val="20"/>
          <w:szCs w:val="20"/>
          <w:lang w:val="lv-LV" w:eastAsia="lv-LV"/>
          <w14:ligatures w14:val="none"/>
        </w:rPr>
        <w:t xml:space="preserve"> </w:t>
      </w:r>
      <w:r w:rsidR="00F96130" w:rsidRPr="00B51C97">
        <w:rPr>
          <w:rFonts w:ascii="Tahoma" w:eastAsia="Calibri" w:hAnsi="Tahoma" w:cs="Tahoma"/>
          <w:bCs/>
          <w:iCs/>
          <w:kern w:val="0"/>
          <w:sz w:val="20"/>
          <w:szCs w:val="20"/>
          <w:lang w:val="lv-LV" w:eastAsia="lv-LV"/>
          <w14:ligatures w14:val="none"/>
        </w:rPr>
        <w:t>“</w:t>
      </w:r>
      <w:r w:rsidR="00907273" w:rsidRPr="00543AEE">
        <w:rPr>
          <w:rFonts w:ascii="Tahoma" w:eastAsia="Calibri" w:hAnsi="Tahoma" w:cs="Tahoma"/>
          <w:bCs/>
          <w:kern w:val="0"/>
          <w:sz w:val="20"/>
          <w:szCs w:val="20"/>
          <w:lang w:val="lv-LV" w:eastAsia="lv-LV"/>
          <w14:ligatures w14:val="none"/>
        </w:rPr>
        <w:t xml:space="preserve">Gada pārskata </w:t>
      </w:r>
      <w:r w:rsidR="00907273" w:rsidRPr="00543AEE">
        <w:rPr>
          <w:rFonts w:ascii="Tahoma" w:eastAsia="Calibri" w:hAnsi="Tahoma" w:cs="Tahoma"/>
          <w:bCs/>
          <w:kern w:val="0"/>
          <w:sz w:val="20"/>
          <w:szCs w:val="20"/>
          <w:lang w:val="lv-LV" w:eastAsia="lv-LV"/>
          <w14:ligatures w14:val="none"/>
        </w:rPr>
        <w:lastRenderedPageBreak/>
        <w:t>sagatavošanas kārtība</w:t>
      </w:r>
      <w:r w:rsidR="00907273" w:rsidRPr="00570001">
        <w:rPr>
          <w:rFonts w:ascii="Tahoma" w:eastAsia="Calibri" w:hAnsi="Tahoma" w:cs="Tahoma"/>
          <w:bCs/>
          <w:kern w:val="0"/>
          <w:sz w:val="20"/>
          <w:szCs w:val="20"/>
          <w:lang w:val="lv-LV" w:eastAsia="lv-LV"/>
          <w14:ligatures w14:val="none"/>
        </w:rPr>
        <w:t>”</w:t>
      </w:r>
      <w:r w:rsidRPr="00587487">
        <w:rPr>
          <w:rFonts w:ascii="Tahoma" w:eastAsia="Calibri" w:hAnsi="Tahoma" w:cs="Tahoma"/>
          <w:kern w:val="0"/>
          <w:sz w:val="20"/>
          <w:szCs w:val="20"/>
          <w:lang w:val="lv-LV" w:eastAsia="lv-LV"/>
          <w14:ligatures w14:val="none"/>
        </w:rPr>
        <w:t xml:space="preserve"> </w:t>
      </w:r>
      <w:r w:rsidRPr="00587487">
        <w:rPr>
          <w:rFonts w:ascii="Tahoma" w:eastAsia="Calibri" w:hAnsi="Tahoma" w:cs="Tahoma"/>
          <w:bCs/>
          <w:kern w:val="0"/>
          <w:sz w:val="20"/>
          <w:szCs w:val="20"/>
          <w:lang w:val="lv-LV" w:eastAsia="lv-LV"/>
          <w14:ligatures w14:val="none"/>
        </w:rPr>
        <w:t>un par tādu iekšējo kontroli, kādu vadība uzskata par nepieciešamu, lai būtu iespējams sagatavot finanšu pārskatu, kas nesatur ne krāpšanas, ne kļūdu izraisītas būtiskas neatbilstības.</w:t>
      </w:r>
    </w:p>
    <w:p w14:paraId="1A2B887A"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Sagatavojot finanšu pārskatu, vadības pienākums ir izvērtēt Pašvaldības spēju turpināt darbību, pēc nepieciešamības sniedzot informāciju par apstākļiem, kas saistīti ar Pašvaldības spēju turpināt darbību un darbības turpināšanas principa piemērošanu, ja vien nav plānota Pašvaldības pievienošana citai Pašvaldībai vai sadalīšana.</w:t>
      </w:r>
    </w:p>
    <w:p w14:paraId="131F6752"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Personas, kurām uzticēta Pašvaldības pārvalde, ir atbildīgas par Pašvaldības finanšu pārskata sagatavošanas pārraudzību.</w:t>
      </w:r>
    </w:p>
    <w:p w14:paraId="36CB74B4"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
          <w:bCs/>
          <w:kern w:val="0"/>
          <w:sz w:val="20"/>
          <w:szCs w:val="20"/>
          <w:lang w:val="lv-LV" w:eastAsia="lv-LV"/>
          <w14:ligatures w14:val="none"/>
        </w:rPr>
        <w:t>Revidenta atbildība par finanšu pārskata revīziju</w:t>
      </w:r>
    </w:p>
    <w:p w14:paraId="3648F4E8"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Mūsu mērķis ir iegūt pietiekamu pārliecību par to, ka finanšu pārskats kopumā nesatur kļūdu vai krāpšanas izraisītas būtiskas neatbilstības, un sniegt revidentu ziņojumu, kurā izteikts atzinums. Pietiekama pārliecība ir augsta līmeņa pārliecība, bet tā negarantē, ka revīzijā, kas veikta saskaņā ar </w:t>
      </w:r>
      <w:r w:rsidRPr="00587487">
        <w:rPr>
          <w:rFonts w:ascii="Tahoma" w:eastAsia="Calibri" w:hAnsi="Tahoma" w:cs="Tahoma"/>
          <w:kern w:val="0"/>
          <w:sz w:val="20"/>
          <w:szCs w:val="20"/>
          <w:lang w:val="lv-LV" w:eastAsia="lv-LV"/>
          <w14:ligatures w14:val="none"/>
        </w:rPr>
        <w:t>ISSAI</w:t>
      </w:r>
      <w:r w:rsidRPr="00587487">
        <w:rPr>
          <w:rFonts w:ascii="Tahoma" w:eastAsia="Calibri" w:hAnsi="Tahoma" w:cs="Tahoma"/>
          <w:bCs/>
          <w:kern w:val="0"/>
          <w:sz w:val="20"/>
          <w:szCs w:val="20"/>
          <w:lang w:val="lv-LV" w:eastAsia="lv-LV"/>
          <w14:ligatures w14:val="none"/>
        </w:rPr>
        <w:t>, vienmēr tiks atklāta būtiska neatbilstība, ja tāda pastāv. Neatbilstības var rasties krāpšanas vai kļūdu rezultātā, un tās ir uzskatāmas par būtiskām, ja var pamatoti uzskatīt, ka tās katra atsevišķi vai visas kopā varētu ietekmēt saimnieciskos lēmumus, ko lietotāji pieņem, pamatojoties uz šo finanšu pārskatu.</w:t>
      </w:r>
    </w:p>
    <w:p w14:paraId="27E8481E" w14:textId="77777777" w:rsidR="00587487" w:rsidRPr="00587487" w:rsidRDefault="00000000" w:rsidP="00587487">
      <w:pPr>
        <w:spacing w:before="120" w:line="276" w:lineRule="auto"/>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 xml:space="preserve">Veicot revīziju saskaņā ar </w:t>
      </w:r>
      <w:r w:rsidRPr="00587487">
        <w:rPr>
          <w:rFonts w:ascii="Tahoma" w:eastAsia="Calibri" w:hAnsi="Tahoma" w:cs="Tahoma"/>
          <w:kern w:val="0"/>
          <w:sz w:val="20"/>
          <w:szCs w:val="20"/>
          <w:lang w:val="lv-LV" w:eastAsia="lv-LV"/>
          <w14:ligatures w14:val="none"/>
        </w:rPr>
        <w:t xml:space="preserve">ISSAI, </w:t>
      </w:r>
      <w:r w:rsidRPr="00587487">
        <w:rPr>
          <w:rFonts w:ascii="Tahoma" w:eastAsia="Calibri" w:hAnsi="Tahoma" w:cs="Tahoma"/>
          <w:bCs/>
          <w:kern w:val="0"/>
          <w:sz w:val="20"/>
          <w:szCs w:val="20"/>
          <w:lang w:val="lv-LV" w:eastAsia="lv-LV"/>
          <w14:ligatures w14:val="none"/>
        </w:rPr>
        <w:t xml:space="preserve">mēs visā revīzijas gaitā izdarām profesionālus spriedumus un ievērojam profesionālo skepsi. Mēs arī: </w:t>
      </w:r>
    </w:p>
    <w:p w14:paraId="15236697" w14:textId="77777777" w:rsidR="00587487" w:rsidRPr="00587487" w:rsidRDefault="00000000" w:rsidP="00587487">
      <w:pPr>
        <w:numPr>
          <w:ilvl w:val="0"/>
          <w:numId w:val="8"/>
        </w:numPr>
        <w:suppressAutoHyphens/>
        <w:spacing w:before="60" w:after="60" w:line="276" w:lineRule="auto"/>
        <w:ind w:left="0" w:firstLine="0"/>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identificējam un izvērtējam riskus, ka finanšu pārskatā varētu būt krāpšanas vai kļūdu dēļ radušās būtiskas neatbilstības, izstrādājam un veicam revīzijas procedūras šo risku mazināšanai, kā arī iegūstam revīzijas pierādījumus, kas sniedz pietiekamu un atbilstošu pamatojumu mūsu atzinumam. Risks, ka netiks atklātas būtiskas krāpšanas radītas neatbilstības, ir augstāks par kļūdu izraisītu neatbilstību risku, jo krāpšana var ietvert slepenas norunas, dokumentu viltošanu, ar nodomu neuzrādītu informāciju, maldinošas informācijas sniegšanu vai iekšējās kontroles pārkāpumus;</w:t>
      </w:r>
    </w:p>
    <w:p w14:paraId="0A237178" w14:textId="77777777" w:rsidR="00587487" w:rsidRPr="00587487" w:rsidRDefault="00000000" w:rsidP="00587487">
      <w:pPr>
        <w:numPr>
          <w:ilvl w:val="0"/>
          <w:numId w:val="8"/>
        </w:numPr>
        <w:suppressAutoHyphens/>
        <w:spacing w:before="60" w:after="60" w:line="276" w:lineRule="auto"/>
        <w:ind w:left="0" w:firstLine="0"/>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iegūstam izpratni par iekšējo kontroli, kas ir būtiska revīzijas veikšanai, lai izstrādātu konkrētajiem apstākļiem atbilstošas revīzijas procedūras, nevis lai sniegtu atzinumu par Pašvaldības iekšējās kontroles efektivitāti;</w:t>
      </w:r>
    </w:p>
    <w:p w14:paraId="0CC4CE6E" w14:textId="77777777" w:rsidR="00587487" w:rsidRPr="00587487" w:rsidRDefault="00000000" w:rsidP="00587487">
      <w:pPr>
        <w:numPr>
          <w:ilvl w:val="0"/>
          <w:numId w:val="8"/>
        </w:numPr>
        <w:suppressAutoHyphens/>
        <w:spacing w:before="60" w:after="60" w:line="276" w:lineRule="auto"/>
        <w:ind w:left="0" w:firstLine="0"/>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izvērtējam pielietoto grāmatvedības uzskaites politiku piemērotību un grāmatvedības aplēšu un attiecīgās vadības uzrādītās informācijas pamatotību;</w:t>
      </w:r>
    </w:p>
    <w:p w14:paraId="75301086" w14:textId="77777777" w:rsidR="00587487" w:rsidRPr="00587487" w:rsidRDefault="00000000" w:rsidP="00587487">
      <w:pPr>
        <w:numPr>
          <w:ilvl w:val="0"/>
          <w:numId w:val="8"/>
        </w:numPr>
        <w:suppressAutoHyphens/>
        <w:spacing w:before="60" w:after="60" w:line="276" w:lineRule="auto"/>
        <w:ind w:left="0" w:firstLine="0"/>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Pašvaldības spēju turpināt darbību. Ja mēs secinām, ka būtiska nenoteiktība pastāv, revidentu ziņojumā tiek vērsta uzmanība uz finanšu pārskatā sniegto informāciju par šiem apstākļiem. Ja šāda informācijas finanšu pārskatā nav sniegta, mēs sniedzam modificētu atzinumu. Mūsu secinājumi ir pamatoti ar revīzijas pierādījumiem, kas iegūti līdz revidentu ziņojuma datumam. Tomēr nākotnes notikumu vai apstākļu ietekmē Pašvaldība savu darbību var pārtraukt;</w:t>
      </w:r>
    </w:p>
    <w:p w14:paraId="4FF6D838" w14:textId="77777777" w:rsidR="00587487" w:rsidRPr="00587487" w:rsidRDefault="00000000" w:rsidP="00587487">
      <w:pPr>
        <w:numPr>
          <w:ilvl w:val="0"/>
          <w:numId w:val="8"/>
        </w:numPr>
        <w:suppressAutoHyphens/>
        <w:spacing w:before="60" w:after="60" w:line="276" w:lineRule="auto"/>
        <w:ind w:left="0" w:firstLine="0"/>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t>izvērtējam vispārējo finanšu pārskata izklāstu, struktūru un saturu, tajā skaitā pielikumā atklāto informāciju un to, vai finanšu pārskats patiesi atspoguļo tā pamatā esošos darījumus un notikumus;</w:t>
      </w:r>
    </w:p>
    <w:p w14:paraId="4BD1B9C7" w14:textId="77777777" w:rsidR="00587487" w:rsidRPr="00587487" w:rsidRDefault="00000000" w:rsidP="00587487">
      <w:pPr>
        <w:numPr>
          <w:ilvl w:val="0"/>
          <w:numId w:val="8"/>
        </w:numPr>
        <w:suppressAutoHyphens/>
        <w:autoSpaceDE w:val="0"/>
        <w:autoSpaceDN w:val="0"/>
        <w:spacing w:before="120" w:after="0" w:line="276" w:lineRule="auto"/>
        <w:ind w:left="0" w:firstLine="0"/>
        <w:contextualSpacing/>
        <w:jc w:val="both"/>
        <w:rPr>
          <w:rFonts w:ascii="Tahoma" w:eastAsia="Calibri" w:hAnsi="Tahoma" w:cs="Tahoma"/>
          <w:bCs/>
          <w:kern w:val="0"/>
          <w:sz w:val="20"/>
          <w:szCs w:val="20"/>
          <w:lang w:val="lv-LV" w:eastAsia="lv-LV"/>
          <w14:ligatures w14:val="none"/>
        </w:rPr>
      </w:pPr>
      <w:r w:rsidRPr="00587487">
        <w:rPr>
          <w:rFonts w:ascii="Tahoma" w:eastAsia="Calibri" w:hAnsi="Tahoma" w:cs="Tahoma"/>
          <w:bCs/>
          <w:kern w:val="0"/>
          <w:sz w:val="20"/>
          <w:szCs w:val="20"/>
          <w:lang w:val="lv-LV" w:eastAsia="lv-LV"/>
          <w14:ligatures w14:val="none"/>
        </w:rPr>
        <w:lastRenderedPageBreak/>
        <w:t xml:space="preserve">iegūstam pietiekamus un atbilstošus revīzijas pierādījumus par Pašvaldības iesaistīto iestāžu finanšu informāciju ar mērķi sniegt atzinumu par finanšu pārskatu. Mēs esam atbildīgi par Pašvaldības revīzijas vadību, pārraudzību un veikšanu. Mēs paliekam pilnībā atbildīgi par mūsu revidentu atzinumu. </w:t>
      </w:r>
    </w:p>
    <w:p w14:paraId="47D0F48A" w14:textId="77777777" w:rsidR="00587487" w:rsidRPr="00587487" w:rsidRDefault="00000000" w:rsidP="00587487">
      <w:pPr>
        <w:autoSpaceDE w:val="0"/>
        <w:spacing w:before="120" w:after="0" w:line="276" w:lineRule="auto"/>
        <w:jc w:val="both"/>
        <w:rPr>
          <w:rFonts w:ascii="Tahoma" w:eastAsia="Calibri" w:hAnsi="Tahoma" w:cs="Tahoma"/>
          <w:kern w:val="0"/>
          <w:sz w:val="20"/>
          <w:lang w:val="lv-LV" w:eastAsia="my-MM" w:bidi="my-MM"/>
          <w14:ligatures w14:val="none"/>
        </w:rPr>
      </w:pPr>
      <w:r w:rsidRPr="00587487">
        <w:rPr>
          <w:rFonts w:ascii="Tahoma" w:eastAsia="Calibri" w:hAnsi="Tahoma" w:cs="Tahoma"/>
          <w:bCs/>
          <w:kern w:val="0"/>
          <w:sz w:val="20"/>
          <w:szCs w:val="20"/>
          <w:lang w:val="lv-LV" w:eastAsia="lv-LV"/>
          <w14:ligatures w14:val="none"/>
        </w:rPr>
        <w:t>Personām, kurām uzticēta Pašvaldības pārvalde, mēs cita starpā sniedzam informāciju par plānoto revīzijas apjomu un laiku, kā arī par svarīgiem revīzijas novērojumiem, tajā skaitā par būtiskiem iekšējās kontroles trūkumiem, kurus mēs identificējam revīzijas laikā.</w:t>
      </w:r>
    </w:p>
    <w:p w14:paraId="36422587" w14:textId="77777777" w:rsidR="00587487" w:rsidRPr="00587487" w:rsidRDefault="00587487" w:rsidP="00587487">
      <w:pPr>
        <w:spacing w:after="0" w:line="276" w:lineRule="auto"/>
        <w:jc w:val="both"/>
        <w:rPr>
          <w:rFonts w:ascii="Tahoma" w:eastAsia="Calibri" w:hAnsi="Tahoma" w:cs="Tahoma"/>
          <w:kern w:val="0"/>
          <w:sz w:val="21"/>
          <w:szCs w:val="21"/>
          <w:lang w:val="lv-LV"/>
          <w14:ligatures w14:val="none"/>
        </w:rPr>
      </w:pPr>
    </w:p>
    <w:p w14:paraId="22A68C41" w14:textId="77777777" w:rsidR="00587487" w:rsidRPr="00587487" w:rsidRDefault="00000000" w:rsidP="00587487">
      <w:pPr>
        <w:spacing w:after="0" w:line="276" w:lineRule="auto"/>
        <w:jc w:val="both"/>
        <w:rPr>
          <w:rFonts w:ascii="Tahoma" w:eastAsia="Calibri" w:hAnsi="Tahoma" w:cs="Tahoma"/>
          <w:bCs/>
          <w:kern w:val="0"/>
          <w:sz w:val="20"/>
          <w:szCs w:val="20"/>
          <w:lang w:val="lv-LV" w:eastAsia="lv-LV"/>
          <w14:ligatures w14:val="none"/>
        </w:rPr>
      </w:pPr>
      <w:hyperlink w:anchor="BK21" w:history="1">
        <w:r w:rsidRPr="00587487">
          <w:rPr>
            <w:rFonts w:ascii="Tahoma" w:eastAsia="Calibri" w:hAnsi="Tahoma" w:cs="Tahoma"/>
            <w:kern w:val="0"/>
            <w:sz w:val="21"/>
            <w:szCs w:val="21"/>
            <w:lang w:val="lv-LV"/>
            <w14:ligatures w14:val="none"/>
          </w:rPr>
          <w:t xml:space="preserve"> </w:t>
        </w:r>
      </w:hyperlink>
    </w:p>
    <w:p w14:paraId="6A5F55C7" w14:textId="77777777" w:rsidR="00587487" w:rsidRPr="00587487" w:rsidRDefault="00000000" w:rsidP="00587487">
      <w:pPr>
        <w:spacing w:after="0" w:line="276" w:lineRule="auto"/>
        <w:ind w:right="849"/>
        <w:jc w:val="both"/>
        <w:rPr>
          <w:rFonts w:ascii="Tahoma" w:eastAsia="Calibri" w:hAnsi="Tahoma" w:cs="Tahoma"/>
          <w:kern w:val="0"/>
          <w:sz w:val="20"/>
          <w:szCs w:val="20"/>
          <w:lang w:val="lv-LV"/>
          <w14:ligatures w14:val="none"/>
        </w:rPr>
      </w:pPr>
      <w:r w:rsidRPr="00587487">
        <w:rPr>
          <w:rFonts w:ascii="Tahoma" w:eastAsia="Calibri" w:hAnsi="Tahoma" w:cs="Tahoma"/>
          <w:kern w:val="0"/>
          <w:sz w:val="20"/>
          <w:szCs w:val="20"/>
          <w:lang w:val="lv-LV"/>
          <w14:ligatures w14:val="none"/>
        </w:rPr>
        <w:t xml:space="preserve">AS </w:t>
      </w:r>
      <w:r w:rsidR="00F96130" w:rsidRPr="00B51C97">
        <w:rPr>
          <w:rFonts w:ascii="Tahoma" w:eastAsia="Calibri" w:hAnsi="Tahoma" w:cs="Tahoma"/>
          <w:bCs/>
          <w:iCs/>
          <w:kern w:val="0"/>
          <w:sz w:val="20"/>
          <w:szCs w:val="20"/>
          <w:lang w:val="lv-LV" w:eastAsia="lv-LV"/>
          <w14:ligatures w14:val="none"/>
        </w:rPr>
        <w:t>“</w:t>
      </w:r>
      <w:r w:rsidRPr="00587487">
        <w:rPr>
          <w:rFonts w:ascii="Tahoma" w:eastAsia="Calibri" w:hAnsi="Tahoma" w:cs="Tahoma"/>
          <w:kern w:val="0"/>
          <w:sz w:val="20"/>
          <w:szCs w:val="20"/>
          <w:lang w:val="lv-LV"/>
          <w14:ligatures w14:val="none"/>
        </w:rPr>
        <w:t>Nexia Audit Advice”</w:t>
      </w:r>
    </w:p>
    <w:p w14:paraId="666AAE06" w14:textId="77777777" w:rsidR="00587487" w:rsidRPr="00587487" w:rsidRDefault="00000000" w:rsidP="00587487">
      <w:pPr>
        <w:spacing w:after="0" w:line="276" w:lineRule="auto"/>
        <w:ind w:right="849"/>
        <w:jc w:val="both"/>
        <w:rPr>
          <w:rFonts w:ascii="Tahoma" w:eastAsia="Calibri" w:hAnsi="Tahoma" w:cs="Tahoma"/>
          <w:kern w:val="0"/>
          <w:sz w:val="20"/>
          <w:szCs w:val="20"/>
          <w:lang w:val="lv-LV"/>
          <w14:ligatures w14:val="none"/>
        </w:rPr>
      </w:pPr>
      <w:r w:rsidRPr="00587487">
        <w:rPr>
          <w:rFonts w:ascii="Tahoma" w:eastAsia="Calibri" w:hAnsi="Tahoma" w:cs="Tahoma"/>
          <w:kern w:val="0"/>
          <w:sz w:val="20"/>
          <w:szCs w:val="20"/>
          <w:lang w:val="lv-LV"/>
          <w14:ligatures w14:val="none"/>
        </w:rPr>
        <w:t>Zvērinātu revidentu komercsabiedrība, licences Nr.134</w:t>
      </w:r>
    </w:p>
    <w:p w14:paraId="25A30A40" w14:textId="77777777" w:rsidR="00587487" w:rsidRPr="00587487" w:rsidRDefault="00587487" w:rsidP="00587487">
      <w:pPr>
        <w:spacing w:after="0" w:line="276" w:lineRule="auto"/>
        <w:ind w:right="849"/>
        <w:jc w:val="both"/>
        <w:rPr>
          <w:rFonts w:ascii="Tahoma" w:eastAsia="Calibri" w:hAnsi="Tahoma" w:cs="Tahoma"/>
          <w:kern w:val="0"/>
          <w:sz w:val="20"/>
          <w:szCs w:val="20"/>
          <w:lang w:val="lv-LV"/>
          <w14:ligatures w14:val="none"/>
        </w:rPr>
      </w:pPr>
    </w:p>
    <w:p w14:paraId="7ACD0C91" w14:textId="77777777" w:rsidR="00587487" w:rsidRPr="00587487" w:rsidRDefault="00000000" w:rsidP="00587487">
      <w:pPr>
        <w:spacing w:after="0" w:line="276" w:lineRule="auto"/>
        <w:ind w:right="849"/>
        <w:jc w:val="both"/>
        <w:rPr>
          <w:rFonts w:ascii="Tahoma" w:eastAsia="Calibri" w:hAnsi="Tahoma" w:cs="Tahoma"/>
          <w:b/>
          <w:kern w:val="0"/>
          <w:sz w:val="20"/>
          <w:szCs w:val="20"/>
          <w:lang w:val="lv-LV"/>
          <w14:ligatures w14:val="none"/>
        </w:rPr>
      </w:pPr>
      <w:r w:rsidRPr="00587487">
        <w:rPr>
          <w:rFonts w:ascii="Tahoma" w:eastAsia="Calibri" w:hAnsi="Tahoma" w:cs="Tahoma"/>
          <w:b/>
          <w:kern w:val="0"/>
          <w:sz w:val="20"/>
          <w:szCs w:val="20"/>
          <w:lang w:val="lv-LV"/>
          <w14:ligatures w14:val="none"/>
        </w:rPr>
        <w:t>Marija Jansone</w:t>
      </w:r>
    </w:p>
    <w:p w14:paraId="27681648" w14:textId="77777777" w:rsidR="00587487" w:rsidRPr="00587487" w:rsidRDefault="00000000" w:rsidP="00587487">
      <w:pPr>
        <w:spacing w:after="0" w:line="276" w:lineRule="auto"/>
        <w:ind w:right="849"/>
        <w:jc w:val="both"/>
        <w:rPr>
          <w:rFonts w:ascii="Tahoma" w:eastAsia="Calibri" w:hAnsi="Tahoma" w:cs="Tahoma"/>
          <w:kern w:val="0"/>
          <w:sz w:val="20"/>
          <w:szCs w:val="20"/>
          <w:lang w:val="lv-LV"/>
          <w14:ligatures w14:val="none"/>
        </w:rPr>
      </w:pPr>
      <w:r w:rsidRPr="00587487">
        <w:rPr>
          <w:rFonts w:ascii="Tahoma" w:eastAsia="Calibri" w:hAnsi="Tahoma" w:cs="Tahoma"/>
          <w:kern w:val="0"/>
          <w:sz w:val="20"/>
          <w:szCs w:val="20"/>
          <w:lang w:val="lv-LV"/>
          <w14:ligatures w14:val="none"/>
        </w:rPr>
        <w:t>Valdes locekle,</w:t>
      </w:r>
    </w:p>
    <w:p w14:paraId="5F2B8885" w14:textId="77777777" w:rsidR="00587487" w:rsidRPr="00587487" w:rsidRDefault="00000000" w:rsidP="00587487">
      <w:pPr>
        <w:spacing w:after="0" w:line="276" w:lineRule="auto"/>
        <w:ind w:right="849"/>
        <w:jc w:val="both"/>
        <w:rPr>
          <w:rFonts w:ascii="Tahoma" w:eastAsia="Calibri" w:hAnsi="Tahoma" w:cs="Tahoma"/>
          <w:kern w:val="0"/>
          <w:sz w:val="20"/>
          <w:szCs w:val="20"/>
          <w:lang w:val="lv-LV"/>
          <w14:ligatures w14:val="none"/>
        </w:rPr>
      </w:pPr>
      <w:r w:rsidRPr="00587487">
        <w:rPr>
          <w:rFonts w:ascii="Tahoma" w:eastAsia="Calibri" w:hAnsi="Tahoma" w:cs="Tahoma"/>
          <w:kern w:val="0"/>
          <w:sz w:val="20"/>
          <w:szCs w:val="20"/>
          <w:lang w:val="lv-LV"/>
          <w14:ligatures w14:val="none"/>
        </w:rPr>
        <w:t>atbildīgā zvērināta revidente, sertifikāta Nr.25</w:t>
      </w:r>
    </w:p>
    <w:p w14:paraId="24213148" w14:textId="77777777" w:rsidR="00587487" w:rsidRPr="00587487" w:rsidRDefault="00587487" w:rsidP="00587487">
      <w:pPr>
        <w:spacing w:after="0" w:line="276" w:lineRule="auto"/>
        <w:ind w:right="849"/>
        <w:jc w:val="both"/>
        <w:rPr>
          <w:rFonts w:ascii="Tahoma" w:eastAsia="Calibri" w:hAnsi="Tahoma" w:cs="Tahoma"/>
          <w:kern w:val="0"/>
          <w:sz w:val="20"/>
          <w:szCs w:val="20"/>
          <w:lang w:val="lv-LV"/>
          <w14:ligatures w14:val="none"/>
        </w:rPr>
      </w:pPr>
    </w:p>
    <w:p w14:paraId="286C5E44" w14:textId="77777777" w:rsidR="00587487" w:rsidRPr="00587487" w:rsidRDefault="00000000" w:rsidP="00587487">
      <w:pPr>
        <w:spacing w:before="120" w:after="0" w:line="276" w:lineRule="auto"/>
        <w:contextualSpacing/>
        <w:jc w:val="both"/>
        <w:rPr>
          <w:rFonts w:ascii="Tahoma" w:eastAsia="Calibri" w:hAnsi="Tahoma" w:cs="Tahoma"/>
          <w:kern w:val="0"/>
          <w:sz w:val="20"/>
          <w:szCs w:val="20"/>
          <w:lang w:val="lv-LV" w:eastAsia="lv-LV"/>
          <w14:ligatures w14:val="none"/>
        </w:rPr>
      </w:pPr>
      <w:r w:rsidRPr="00587487">
        <w:rPr>
          <w:rFonts w:ascii="Tahoma" w:eastAsia="Calibri" w:hAnsi="Tahoma" w:cs="Tahoma"/>
          <w:kern w:val="0"/>
          <w:sz w:val="20"/>
          <w:szCs w:val="20"/>
          <w:lang w:val="lv-LV" w:eastAsia="lv-LV"/>
          <w14:ligatures w14:val="none"/>
        </w:rPr>
        <w:t>ŠIS DOKUMENTS IR ELEKTRONISKI PARAKSTĪTS AR</w:t>
      </w:r>
    </w:p>
    <w:p w14:paraId="606918A3" w14:textId="77777777" w:rsidR="00587487" w:rsidRPr="00587487" w:rsidRDefault="00000000" w:rsidP="00587487">
      <w:pPr>
        <w:spacing w:before="120" w:after="0" w:line="276" w:lineRule="auto"/>
        <w:contextualSpacing/>
        <w:jc w:val="both"/>
        <w:rPr>
          <w:rFonts w:ascii="Verdana" w:eastAsia="Calibri" w:hAnsi="Verdana" w:cs="Times New Roman"/>
          <w:kern w:val="0"/>
          <w:sz w:val="20"/>
          <w:szCs w:val="20"/>
          <w:lang w:val="lv-LV" w:eastAsia="lv-LV"/>
          <w14:ligatures w14:val="none"/>
        </w:rPr>
      </w:pPr>
      <w:r w:rsidRPr="00587487">
        <w:rPr>
          <w:rFonts w:ascii="Tahoma" w:eastAsia="Calibri" w:hAnsi="Tahoma" w:cs="Tahoma"/>
          <w:kern w:val="0"/>
          <w:sz w:val="20"/>
          <w:szCs w:val="20"/>
          <w:lang w:val="lv-LV" w:eastAsia="lv-LV"/>
          <w14:ligatures w14:val="none"/>
        </w:rPr>
        <w:t>DROŠU ELEKTRONISKO PARAKSTU UN SATUR LAIKA ZĪMOGU</w:t>
      </w:r>
    </w:p>
    <w:p w14:paraId="3AE31F6C" w14:textId="77777777" w:rsidR="00587487" w:rsidRPr="00587487" w:rsidRDefault="00587487" w:rsidP="00587487">
      <w:pPr>
        <w:spacing w:after="0" w:line="276" w:lineRule="auto"/>
        <w:ind w:right="849"/>
        <w:jc w:val="both"/>
        <w:rPr>
          <w:rFonts w:ascii="Tahoma" w:eastAsia="Calibri" w:hAnsi="Tahoma" w:cs="Tahoma"/>
          <w:kern w:val="0"/>
          <w:sz w:val="20"/>
          <w:szCs w:val="20"/>
          <w:lang w:val="lv-LV"/>
          <w14:ligatures w14:val="none"/>
        </w:rPr>
      </w:pPr>
    </w:p>
    <w:p w14:paraId="363955E4" w14:textId="77777777" w:rsidR="00587487" w:rsidRPr="00587487" w:rsidRDefault="00000000" w:rsidP="00587487">
      <w:pPr>
        <w:spacing w:after="0" w:line="276" w:lineRule="auto"/>
        <w:ind w:right="849"/>
        <w:jc w:val="both"/>
        <w:rPr>
          <w:rFonts w:ascii="Tahoma" w:eastAsia="Calibri" w:hAnsi="Tahoma" w:cs="Tahoma"/>
          <w:kern w:val="0"/>
          <w:sz w:val="20"/>
          <w:szCs w:val="20"/>
          <w:lang w:val="lv-LV"/>
          <w14:ligatures w14:val="none"/>
        </w:rPr>
      </w:pPr>
      <w:r w:rsidRPr="00587487">
        <w:rPr>
          <w:rFonts w:ascii="Tahoma" w:eastAsia="Calibri" w:hAnsi="Tahoma" w:cs="Tahoma"/>
          <w:kern w:val="0"/>
          <w:sz w:val="20"/>
          <w:szCs w:val="20"/>
          <w:lang w:val="lv-LV"/>
          <w14:ligatures w14:val="none"/>
        </w:rPr>
        <w:t>Marija Jansone, +37129221897</w:t>
      </w:r>
    </w:p>
    <w:p w14:paraId="50A0D5A2" w14:textId="77777777" w:rsidR="00587487" w:rsidRPr="00587487" w:rsidRDefault="00000000" w:rsidP="00587487">
      <w:pPr>
        <w:spacing w:after="0" w:line="276" w:lineRule="auto"/>
        <w:ind w:right="849"/>
        <w:jc w:val="both"/>
        <w:rPr>
          <w:rFonts w:ascii="Tahoma" w:eastAsia="Calibri" w:hAnsi="Tahoma" w:cs="Tahoma"/>
          <w:color w:val="000000"/>
          <w:kern w:val="0"/>
          <w:sz w:val="20"/>
          <w:szCs w:val="20"/>
          <w:lang w:val="lv-LV"/>
          <w14:ligatures w14:val="none"/>
        </w:rPr>
      </w:pPr>
      <w:hyperlink r:id="rId8" w:history="1">
        <w:r w:rsidRPr="00587487">
          <w:rPr>
            <w:rFonts w:ascii="Tahoma" w:eastAsia="Calibri" w:hAnsi="Tahoma" w:cs="Tahoma"/>
            <w:color w:val="000000"/>
            <w:kern w:val="0"/>
            <w:sz w:val="20"/>
            <w:szCs w:val="20"/>
            <w:lang w:val="lv-LV"/>
            <w14:ligatures w14:val="none"/>
          </w:rPr>
          <w:t>marija.jansone@nexia.lv</w:t>
        </w:r>
      </w:hyperlink>
    </w:p>
    <w:p w14:paraId="45307E78" w14:textId="77777777" w:rsidR="00587487" w:rsidRPr="00587487" w:rsidRDefault="00587487" w:rsidP="00587487">
      <w:pPr>
        <w:spacing w:after="0" w:line="240" w:lineRule="auto"/>
        <w:ind w:right="849"/>
        <w:jc w:val="both"/>
        <w:rPr>
          <w:rFonts w:ascii="Tahoma" w:eastAsia="Calibri" w:hAnsi="Tahoma" w:cs="Tahoma"/>
          <w:kern w:val="0"/>
          <w:sz w:val="21"/>
          <w:szCs w:val="21"/>
          <w:lang w:val="lv-LV"/>
          <w14:ligatures w14:val="none"/>
        </w:rPr>
      </w:pPr>
    </w:p>
    <w:p w14:paraId="70709A88" w14:textId="77777777" w:rsidR="00A53C40" w:rsidRPr="00FA4AFE" w:rsidRDefault="00A53C40" w:rsidP="00587487">
      <w:pPr>
        <w:spacing w:after="0" w:line="240" w:lineRule="auto"/>
        <w:jc w:val="both"/>
        <w:rPr>
          <w:rFonts w:ascii="Tahoma" w:hAnsi="Tahoma" w:cs="Tahoma"/>
          <w:sz w:val="20"/>
          <w:szCs w:val="20"/>
          <w:lang w:val="lv-LV"/>
        </w:rPr>
      </w:pPr>
    </w:p>
    <w:p w14:paraId="2AE5448D" w14:textId="77777777" w:rsidR="00A53C40" w:rsidRPr="00FA4AFE" w:rsidRDefault="00A53C40" w:rsidP="00587487">
      <w:pPr>
        <w:spacing w:after="0" w:line="240" w:lineRule="auto"/>
        <w:jc w:val="both"/>
        <w:rPr>
          <w:rFonts w:ascii="Tahoma" w:hAnsi="Tahoma" w:cs="Tahoma"/>
          <w:sz w:val="20"/>
          <w:szCs w:val="20"/>
          <w:lang w:val="lv-LV"/>
        </w:rPr>
      </w:pPr>
    </w:p>
    <w:p w14:paraId="3883937D" w14:textId="77777777" w:rsidR="00A53C40" w:rsidRPr="00FA4AFE" w:rsidRDefault="00A53C40" w:rsidP="00587487">
      <w:pPr>
        <w:spacing w:after="0" w:line="240" w:lineRule="auto"/>
        <w:jc w:val="both"/>
        <w:rPr>
          <w:rFonts w:ascii="Tahoma" w:hAnsi="Tahoma" w:cs="Tahoma"/>
          <w:sz w:val="20"/>
          <w:szCs w:val="20"/>
          <w:lang w:val="lv-LV"/>
        </w:rPr>
      </w:pPr>
    </w:p>
    <w:p w14:paraId="2ABDFA14" w14:textId="77777777" w:rsidR="00A53C40" w:rsidRDefault="00A53C40" w:rsidP="00587487">
      <w:pPr>
        <w:spacing w:after="0" w:line="240" w:lineRule="auto"/>
        <w:jc w:val="both"/>
        <w:rPr>
          <w:rFonts w:ascii="Tahoma" w:hAnsi="Tahoma" w:cs="Tahoma"/>
          <w:sz w:val="20"/>
          <w:szCs w:val="20"/>
          <w:lang w:val="lv-LV"/>
        </w:rPr>
      </w:pPr>
    </w:p>
    <w:p w14:paraId="552F98AC" w14:textId="77777777" w:rsidR="00A53C40" w:rsidRPr="00FA4AFE" w:rsidRDefault="00A53C40" w:rsidP="00587487">
      <w:pPr>
        <w:spacing w:after="0" w:line="240" w:lineRule="auto"/>
        <w:jc w:val="both"/>
        <w:rPr>
          <w:rFonts w:ascii="Tahoma" w:hAnsi="Tahoma" w:cs="Tahoma"/>
          <w:sz w:val="20"/>
          <w:szCs w:val="20"/>
          <w:lang w:val="lv-LV"/>
        </w:rPr>
      </w:pPr>
    </w:p>
    <w:p w14:paraId="1E00DC4C" w14:textId="77777777" w:rsidR="00A53C40" w:rsidRPr="00FA4AFE" w:rsidRDefault="00A53C40" w:rsidP="00587487">
      <w:pPr>
        <w:spacing w:after="0" w:line="240" w:lineRule="auto"/>
        <w:jc w:val="both"/>
        <w:rPr>
          <w:rFonts w:ascii="Tahoma" w:hAnsi="Tahoma" w:cs="Tahoma"/>
          <w:sz w:val="20"/>
          <w:szCs w:val="20"/>
          <w:lang w:val="lv-LV"/>
        </w:rPr>
      </w:pPr>
    </w:p>
    <w:p w14:paraId="221012F9" w14:textId="77777777" w:rsidR="00C65C08" w:rsidRPr="00FA4AFE" w:rsidRDefault="00C65C08" w:rsidP="00587487">
      <w:pPr>
        <w:spacing w:after="0" w:line="240" w:lineRule="auto"/>
        <w:jc w:val="both"/>
        <w:rPr>
          <w:rFonts w:ascii="Tahoma" w:hAnsi="Tahoma" w:cs="Tahoma"/>
          <w:sz w:val="20"/>
          <w:szCs w:val="20"/>
          <w:lang w:val="lv-LV"/>
        </w:rPr>
      </w:pPr>
    </w:p>
    <w:sectPr w:rsidR="00C65C08" w:rsidRPr="00FA4AFE" w:rsidSect="00881579">
      <w:headerReference w:type="default" r:id="rId9"/>
      <w:footerReference w:type="default" r:id="rId10"/>
      <w:headerReference w:type="first" r:id="rId11"/>
      <w:footerReference w:type="first" r:id="rId12"/>
      <w:pgSz w:w="11907" w:h="16840" w:code="9"/>
      <w:pgMar w:top="2268" w:right="1418" w:bottom="153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4B7F4" w14:textId="77777777" w:rsidR="00881579" w:rsidRDefault="00881579">
      <w:pPr>
        <w:spacing w:after="0" w:line="240" w:lineRule="auto"/>
      </w:pPr>
      <w:r>
        <w:separator/>
      </w:r>
    </w:p>
  </w:endnote>
  <w:endnote w:type="continuationSeparator" w:id="0">
    <w:p w14:paraId="6DC6ACA0" w14:textId="77777777" w:rsidR="00881579" w:rsidRDefault="008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2000999786"/>
      <w:docPartObj>
        <w:docPartGallery w:val="Page Numbers (Bottom of Page)"/>
        <w:docPartUnique/>
      </w:docPartObj>
    </w:sdtPr>
    <w:sdtEndPr>
      <w:rPr>
        <w:noProof/>
        <w:sz w:val="14"/>
        <w:szCs w:val="14"/>
      </w:rPr>
    </w:sdtEndPr>
    <w:sdtContent>
      <w:p w14:paraId="591BDACD" w14:textId="77777777" w:rsidR="00FA4AFE" w:rsidRPr="00C65C08" w:rsidRDefault="00000000" w:rsidP="00FA4AFE">
        <w:pPr>
          <w:pStyle w:val="Kjene"/>
          <w:tabs>
            <w:tab w:val="clear" w:pos="8640"/>
          </w:tabs>
          <w:ind w:right="-612"/>
          <w:jc w:val="right"/>
          <w:rPr>
            <w:rFonts w:ascii="Tahoma" w:hAnsi="Tahoma" w:cs="Tahoma"/>
            <w:sz w:val="14"/>
            <w:szCs w:val="14"/>
          </w:rPr>
        </w:pPr>
        <w:r w:rsidRPr="00C65C08">
          <w:rPr>
            <w:rFonts w:ascii="Tahoma" w:hAnsi="Tahoma" w:cs="Tahoma"/>
            <w:sz w:val="14"/>
            <w:szCs w:val="14"/>
          </w:rPr>
          <w:fldChar w:fldCharType="begin"/>
        </w:r>
        <w:r w:rsidRPr="00C65C08">
          <w:rPr>
            <w:rFonts w:ascii="Tahoma" w:hAnsi="Tahoma" w:cs="Tahoma"/>
            <w:sz w:val="14"/>
            <w:szCs w:val="14"/>
          </w:rPr>
          <w:instrText xml:space="preserve"> PAGE   \* MERGEFORMAT </w:instrText>
        </w:r>
        <w:r w:rsidRPr="00C65C08">
          <w:rPr>
            <w:rFonts w:ascii="Tahoma" w:hAnsi="Tahoma" w:cs="Tahoma"/>
            <w:sz w:val="14"/>
            <w:szCs w:val="14"/>
          </w:rPr>
          <w:fldChar w:fldCharType="separate"/>
        </w:r>
        <w:r w:rsidR="00243FB2">
          <w:rPr>
            <w:rFonts w:ascii="Tahoma" w:hAnsi="Tahoma" w:cs="Tahoma"/>
            <w:noProof/>
            <w:sz w:val="14"/>
            <w:szCs w:val="14"/>
          </w:rPr>
          <w:t>2</w:t>
        </w:r>
        <w:r w:rsidRPr="00C65C08">
          <w:rPr>
            <w:rFonts w:ascii="Tahoma" w:hAnsi="Tahoma" w:cs="Tahoma"/>
            <w:noProof/>
            <w:sz w:val="14"/>
            <w:szCs w:val="14"/>
          </w:rPr>
          <w:fldChar w:fldCharType="end"/>
        </w:r>
      </w:p>
    </w:sdtContent>
  </w:sdt>
  <w:p w14:paraId="1CA5C836" w14:textId="77777777" w:rsidR="00966F2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8333" w14:textId="77777777" w:rsidR="00966F2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FDBA5" w14:textId="77777777" w:rsidR="00881579" w:rsidRDefault="00881579">
      <w:pPr>
        <w:spacing w:after="0" w:line="240" w:lineRule="auto"/>
      </w:pPr>
      <w:r>
        <w:separator/>
      </w:r>
    </w:p>
  </w:footnote>
  <w:footnote w:type="continuationSeparator" w:id="0">
    <w:p w14:paraId="1EDB6CC1" w14:textId="77777777" w:rsidR="00881579" w:rsidRDefault="0088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8262A" w14:textId="77777777" w:rsidR="00A53C40" w:rsidRPr="00C65C08" w:rsidRDefault="00000000">
    <w:pPr>
      <w:pStyle w:val="Galvene"/>
      <w:rPr>
        <w:rFonts w:ascii="Tahoma" w:hAnsi="Tahoma" w:cs="Tahoma"/>
        <w:sz w:val="10"/>
        <w:szCs w:val="10"/>
      </w:rPr>
    </w:pPr>
    <w:r w:rsidRPr="00C65C08">
      <w:rPr>
        <w:rFonts w:ascii="Tahoma" w:hAnsi="Tahoma" w:cs="Tahoma"/>
        <w:noProof/>
        <w:sz w:val="10"/>
        <w:szCs w:val="10"/>
        <w:lang w:val="lv-LV" w:eastAsia="lv-LV"/>
      </w:rPr>
      <w:drawing>
        <wp:anchor distT="0" distB="0" distL="114300" distR="114300" simplePos="0" relativeHeight="251658240" behindDoc="1" locked="0" layoutInCell="1" allowOverlap="1" wp14:anchorId="124D17F9" wp14:editId="329D683A">
          <wp:simplePos x="0" y="0"/>
          <wp:positionH relativeFrom="page">
            <wp:posOffset>0</wp:posOffset>
          </wp:positionH>
          <wp:positionV relativeFrom="page">
            <wp:posOffset>0</wp:posOffset>
          </wp:positionV>
          <wp:extent cx="7560000" cy="10692000"/>
          <wp:effectExtent l="0" t="0" r="3175" b="0"/>
          <wp:wrapNone/>
          <wp:docPr id="197562904" name="Picture 5"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14791" name="Picture 5"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84201" w14:textId="77777777" w:rsidR="001530AB" w:rsidRPr="00C65C08" w:rsidRDefault="00000000">
    <w:pPr>
      <w:pStyle w:val="Galvene"/>
      <w:rPr>
        <w:rFonts w:ascii="Tahoma" w:hAnsi="Tahoma" w:cs="Tahoma"/>
        <w:sz w:val="10"/>
        <w:szCs w:val="10"/>
      </w:rPr>
    </w:pPr>
    <w:r w:rsidRPr="00C65C08">
      <w:rPr>
        <w:rFonts w:ascii="Tahoma" w:hAnsi="Tahoma" w:cs="Tahoma"/>
        <w:noProof/>
        <w:sz w:val="10"/>
        <w:szCs w:val="10"/>
        <w:lang w:val="lv-LV" w:eastAsia="lv-LV"/>
      </w:rPr>
      <w:drawing>
        <wp:anchor distT="0" distB="0" distL="114300" distR="114300" simplePos="0" relativeHeight="251659264" behindDoc="1" locked="0" layoutInCell="1" allowOverlap="1" wp14:anchorId="5BB43875" wp14:editId="2BE6D3F8">
          <wp:simplePos x="0" y="0"/>
          <wp:positionH relativeFrom="page">
            <wp:posOffset>0</wp:posOffset>
          </wp:positionH>
          <wp:positionV relativeFrom="page">
            <wp:posOffset>0</wp:posOffset>
          </wp:positionV>
          <wp:extent cx="7560000" cy="10692000"/>
          <wp:effectExtent l="0" t="0" r="3175" b="0"/>
          <wp:wrapNone/>
          <wp:docPr id="448285984" name="Picture 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04382" name="Picture 6"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C0B35"/>
    <w:multiLevelType w:val="hybridMultilevel"/>
    <w:tmpl w:val="462A2902"/>
    <w:lvl w:ilvl="0" w:tplc="9238F186">
      <w:start w:val="1"/>
      <w:numFmt w:val="bullet"/>
      <w:lvlText w:val=""/>
      <w:lvlJc w:val="left"/>
      <w:pPr>
        <w:ind w:left="720" w:hanging="360"/>
      </w:pPr>
      <w:rPr>
        <w:rFonts w:ascii="Symbol" w:hAnsi="Symbol" w:hint="default"/>
      </w:rPr>
    </w:lvl>
    <w:lvl w:ilvl="1" w:tplc="661472B2" w:tentative="1">
      <w:start w:val="1"/>
      <w:numFmt w:val="bullet"/>
      <w:lvlText w:val="o"/>
      <w:lvlJc w:val="left"/>
      <w:pPr>
        <w:ind w:left="1440" w:hanging="360"/>
      </w:pPr>
      <w:rPr>
        <w:rFonts w:ascii="Courier New" w:hAnsi="Courier New" w:cs="Courier New" w:hint="default"/>
      </w:rPr>
    </w:lvl>
    <w:lvl w:ilvl="2" w:tplc="AE2C44AE" w:tentative="1">
      <w:start w:val="1"/>
      <w:numFmt w:val="bullet"/>
      <w:lvlText w:val=""/>
      <w:lvlJc w:val="left"/>
      <w:pPr>
        <w:ind w:left="2160" w:hanging="360"/>
      </w:pPr>
      <w:rPr>
        <w:rFonts w:ascii="Wingdings" w:hAnsi="Wingdings" w:hint="default"/>
      </w:rPr>
    </w:lvl>
    <w:lvl w:ilvl="3" w:tplc="2970FDF0" w:tentative="1">
      <w:start w:val="1"/>
      <w:numFmt w:val="bullet"/>
      <w:lvlText w:val=""/>
      <w:lvlJc w:val="left"/>
      <w:pPr>
        <w:ind w:left="2880" w:hanging="360"/>
      </w:pPr>
      <w:rPr>
        <w:rFonts w:ascii="Symbol" w:hAnsi="Symbol" w:hint="default"/>
      </w:rPr>
    </w:lvl>
    <w:lvl w:ilvl="4" w:tplc="87AC6042" w:tentative="1">
      <w:start w:val="1"/>
      <w:numFmt w:val="bullet"/>
      <w:lvlText w:val="o"/>
      <w:lvlJc w:val="left"/>
      <w:pPr>
        <w:ind w:left="3600" w:hanging="360"/>
      </w:pPr>
      <w:rPr>
        <w:rFonts w:ascii="Courier New" w:hAnsi="Courier New" w:cs="Courier New" w:hint="default"/>
      </w:rPr>
    </w:lvl>
    <w:lvl w:ilvl="5" w:tplc="3D1A6F60" w:tentative="1">
      <w:start w:val="1"/>
      <w:numFmt w:val="bullet"/>
      <w:lvlText w:val=""/>
      <w:lvlJc w:val="left"/>
      <w:pPr>
        <w:ind w:left="4320" w:hanging="360"/>
      </w:pPr>
      <w:rPr>
        <w:rFonts w:ascii="Wingdings" w:hAnsi="Wingdings" w:hint="default"/>
      </w:rPr>
    </w:lvl>
    <w:lvl w:ilvl="6" w:tplc="0F50B28E" w:tentative="1">
      <w:start w:val="1"/>
      <w:numFmt w:val="bullet"/>
      <w:lvlText w:val=""/>
      <w:lvlJc w:val="left"/>
      <w:pPr>
        <w:ind w:left="5040" w:hanging="360"/>
      </w:pPr>
      <w:rPr>
        <w:rFonts w:ascii="Symbol" w:hAnsi="Symbol" w:hint="default"/>
      </w:rPr>
    </w:lvl>
    <w:lvl w:ilvl="7" w:tplc="9D3A6652" w:tentative="1">
      <w:start w:val="1"/>
      <w:numFmt w:val="bullet"/>
      <w:lvlText w:val="o"/>
      <w:lvlJc w:val="left"/>
      <w:pPr>
        <w:ind w:left="5760" w:hanging="360"/>
      </w:pPr>
      <w:rPr>
        <w:rFonts w:ascii="Courier New" w:hAnsi="Courier New" w:cs="Courier New" w:hint="default"/>
      </w:rPr>
    </w:lvl>
    <w:lvl w:ilvl="8" w:tplc="D91A5F4C" w:tentative="1">
      <w:start w:val="1"/>
      <w:numFmt w:val="bullet"/>
      <w:lvlText w:val=""/>
      <w:lvlJc w:val="left"/>
      <w:pPr>
        <w:ind w:left="6480" w:hanging="360"/>
      </w:pPr>
      <w:rPr>
        <w:rFonts w:ascii="Wingdings" w:hAnsi="Wingdings" w:hint="default"/>
      </w:rPr>
    </w:lvl>
  </w:abstractNum>
  <w:abstractNum w:abstractNumId="1" w15:restartNumberingAfterBreak="0">
    <w:nsid w:val="24A86D31"/>
    <w:multiLevelType w:val="hybridMultilevel"/>
    <w:tmpl w:val="A538FA48"/>
    <w:lvl w:ilvl="0" w:tplc="754A1756">
      <w:start w:val="1"/>
      <w:numFmt w:val="bullet"/>
      <w:lvlText w:val=""/>
      <w:lvlJc w:val="left"/>
      <w:pPr>
        <w:ind w:left="720" w:hanging="360"/>
      </w:pPr>
      <w:rPr>
        <w:rFonts w:ascii="Symbol" w:hAnsi="Symbol" w:hint="default"/>
      </w:rPr>
    </w:lvl>
    <w:lvl w:ilvl="1" w:tplc="AB3EF686" w:tentative="1">
      <w:start w:val="1"/>
      <w:numFmt w:val="bullet"/>
      <w:lvlText w:val="o"/>
      <w:lvlJc w:val="left"/>
      <w:pPr>
        <w:ind w:left="1440" w:hanging="360"/>
      </w:pPr>
      <w:rPr>
        <w:rFonts w:ascii="Courier New" w:hAnsi="Courier New" w:cs="Courier New" w:hint="default"/>
      </w:rPr>
    </w:lvl>
    <w:lvl w:ilvl="2" w:tplc="0F7ED252" w:tentative="1">
      <w:start w:val="1"/>
      <w:numFmt w:val="bullet"/>
      <w:lvlText w:val=""/>
      <w:lvlJc w:val="left"/>
      <w:pPr>
        <w:ind w:left="2160" w:hanging="360"/>
      </w:pPr>
      <w:rPr>
        <w:rFonts w:ascii="Wingdings" w:hAnsi="Wingdings" w:hint="default"/>
      </w:rPr>
    </w:lvl>
    <w:lvl w:ilvl="3" w:tplc="311C6084" w:tentative="1">
      <w:start w:val="1"/>
      <w:numFmt w:val="bullet"/>
      <w:lvlText w:val=""/>
      <w:lvlJc w:val="left"/>
      <w:pPr>
        <w:ind w:left="2880" w:hanging="360"/>
      </w:pPr>
      <w:rPr>
        <w:rFonts w:ascii="Symbol" w:hAnsi="Symbol" w:hint="default"/>
      </w:rPr>
    </w:lvl>
    <w:lvl w:ilvl="4" w:tplc="243ED9A6" w:tentative="1">
      <w:start w:val="1"/>
      <w:numFmt w:val="bullet"/>
      <w:lvlText w:val="o"/>
      <w:lvlJc w:val="left"/>
      <w:pPr>
        <w:ind w:left="3600" w:hanging="360"/>
      </w:pPr>
      <w:rPr>
        <w:rFonts w:ascii="Courier New" w:hAnsi="Courier New" w:cs="Courier New" w:hint="default"/>
      </w:rPr>
    </w:lvl>
    <w:lvl w:ilvl="5" w:tplc="65A01688" w:tentative="1">
      <w:start w:val="1"/>
      <w:numFmt w:val="bullet"/>
      <w:lvlText w:val=""/>
      <w:lvlJc w:val="left"/>
      <w:pPr>
        <w:ind w:left="4320" w:hanging="360"/>
      </w:pPr>
      <w:rPr>
        <w:rFonts w:ascii="Wingdings" w:hAnsi="Wingdings" w:hint="default"/>
      </w:rPr>
    </w:lvl>
    <w:lvl w:ilvl="6" w:tplc="C11E51CA" w:tentative="1">
      <w:start w:val="1"/>
      <w:numFmt w:val="bullet"/>
      <w:lvlText w:val=""/>
      <w:lvlJc w:val="left"/>
      <w:pPr>
        <w:ind w:left="5040" w:hanging="360"/>
      </w:pPr>
      <w:rPr>
        <w:rFonts w:ascii="Symbol" w:hAnsi="Symbol" w:hint="default"/>
      </w:rPr>
    </w:lvl>
    <w:lvl w:ilvl="7" w:tplc="03E6CF72" w:tentative="1">
      <w:start w:val="1"/>
      <w:numFmt w:val="bullet"/>
      <w:lvlText w:val="o"/>
      <w:lvlJc w:val="left"/>
      <w:pPr>
        <w:ind w:left="5760" w:hanging="360"/>
      </w:pPr>
      <w:rPr>
        <w:rFonts w:ascii="Courier New" w:hAnsi="Courier New" w:cs="Courier New" w:hint="default"/>
      </w:rPr>
    </w:lvl>
    <w:lvl w:ilvl="8" w:tplc="030C1BEA" w:tentative="1">
      <w:start w:val="1"/>
      <w:numFmt w:val="bullet"/>
      <w:lvlText w:val=""/>
      <w:lvlJc w:val="left"/>
      <w:pPr>
        <w:ind w:left="6480" w:hanging="360"/>
      </w:pPr>
      <w:rPr>
        <w:rFonts w:ascii="Wingdings" w:hAnsi="Wingdings" w:hint="default"/>
      </w:rPr>
    </w:lvl>
  </w:abstractNum>
  <w:abstractNum w:abstractNumId="2" w15:restartNumberingAfterBreak="0">
    <w:nsid w:val="288D59D1"/>
    <w:multiLevelType w:val="hybridMultilevel"/>
    <w:tmpl w:val="D9B44CF6"/>
    <w:lvl w:ilvl="0" w:tplc="9A38D596">
      <w:start w:val="1"/>
      <w:numFmt w:val="bullet"/>
      <w:lvlText w:val=""/>
      <w:lvlJc w:val="left"/>
      <w:pPr>
        <w:ind w:left="720" w:hanging="360"/>
      </w:pPr>
      <w:rPr>
        <w:rFonts w:ascii="Symbol" w:hAnsi="Symbol" w:hint="default"/>
      </w:rPr>
    </w:lvl>
    <w:lvl w:ilvl="1" w:tplc="7F3A4D90" w:tentative="1">
      <w:start w:val="1"/>
      <w:numFmt w:val="bullet"/>
      <w:lvlText w:val="o"/>
      <w:lvlJc w:val="left"/>
      <w:pPr>
        <w:ind w:left="1440" w:hanging="360"/>
      </w:pPr>
      <w:rPr>
        <w:rFonts w:ascii="Courier New" w:hAnsi="Courier New" w:cs="Courier New" w:hint="default"/>
      </w:rPr>
    </w:lvl>
    <w:lvl w:ilvl="2" w:tplc="DCBCC9B8" w:tentative="1">
      <w:start w:val="1"/>
      <w:numFmt w:val="bullet"/>
      <w:lvlText w:val=""/>
      <w:lvlJc w:val="left"/>
      <w:pPr>
        <w:ind w:left="2160" w:hanging="360"/>
      </w:pPr>
      <w:rPr>
        <w:rFonts w:ascii="Wingdings" w:hAnsi="Wingdings" w:hint="default"/>
      </w:rPr>
    </w:lvl>
    <w:lvl w:ilvl="3" w:tplc="42007666" w:tentative="1">
      <w:start w:val="1"/>
      <w:numFmt w:val="bullet"/>
      <w:lvlText w:val=""/>
      <w:lvlJc w:val="left"/>
      <w:pPr>
        <w:ind w:left="2880" w:hanging="360"/>
      </w:pPr>
      <w:rPr>
        <w:rFonts w:ascii="Symbol" w:hAnsi="Symbol" w:hint="default"/>
      </w:rPr>
    </w:lvl>
    <w:lvl w:ilvl="4" w:tplc="8CCCEA0A" w:tentative="1">
      <w:start w:val="1"/>
      <w:numFmt w:val="bullet"/>
      <w:lvlText w:val="o"/>
      <w:lvlJc w:val="left"/>
      <w:pPr>
        <w:ind w:left="3600" w:hanging="360"/>
      </w:pPr>
      <w:rPr>
        <w:rFonts w:ascii="Courier New" w:hAnsi="Courier New" w:cs="Courier New" w:hint="default"/>
      </w:rPr>
    </w:lvl>
    <w:lvl w:ilvl="5" w:tplc="FE802D00" w:tentative="1">
      <w:start w:val="1"/>
      <w:numFmt w:val="bullet"/>
      <w:lvlText w:val=""/>
      <w:lvlJc w:val="left"/>
      <w:pPr>
        <w:ind w:left="4320" w:hanging="360"/>
      </w:pPr>
      <w:rPr>
        <w:rFonts w:ascii="Wingdings" w:hAnsi="Wingdings" w:hint="default"/>
      </w:rPr>
    </w:lvl>
    <w:lvl w:ilvl="6" w:tplc="AB08065C" w:tentative="1">
      <w:start w:val="1"/>
      <w:numFmt w:val="bullet"/>
      <w:lvlText w:val=""/>
      <w:lvlJc w:val="left"/>
      <w:pPr>
        <w:ind w:left="5040" w:hanging="360"/>
      </w:pPr>
      <w:rPr>
        <w:rFonts w:ascii="Symbol" w:hAnsi="Symbol" w:hint="default"/>
      </w:rPr>
    </w:lvl>
    <w:lvl w:ilvl="7" w:tplc="3438969A" w:tentative="1">
      <w:start w:val="1"/>
      <w:numFmt w:val="bullet"/>
      <w:lvlText w:val="o"/>
      <w:lvlJc w:val="left"/>
      <w:pPr>
        <w:ind w:left="5760" w:hanging="360"/>
      </w:pPr>
      <w:rPr>
        <w:rFonts w:ascii="Courier New" w:hAnsi="Courier New" w:cs="Courier New" w:hint="default"/>
      </w:rPr>
    </w:lvl>
    <w:lvl w:ilvl="8" w:tplc="32CAD744" w:tentative="1">
      <w:start w:val="1"/>
      <w:numFmt w:val="bullet"/>
      <w:lvlText w:val=""/>
      <w:lvlJc w:val="left"/>
      <w:pPr>
        <w:ind w:left="6480" w:hanging="360"/>
      </w:pPr>
      <w:rPr>
        <w:rFonts w:ascii="Wingdings" w:hAnsi="Wingdings" w:hint="default"/>
      </w:rPr>
    </w:lvl>
  </w:abstractNum>
  <w:abstractNum w:abstractNumId="3" w15:restartNumberingAfterBreak="0">
    <w:nsid w:val="29FD092E"/>
    <w:multiLevelType w:val="hybridMultilevel"/>
    <w:tmpl w:val="B6601C92"/>
    <w:lvl w:ilvl="0" w:tplc="AF642AF8">
      <w:start w:val="1"/>
      <w:numFmt w:val="bullet"/>
      <w:lvlText w:val=""/>
      <w:lvlJc w:val="left"/>
      <w:pPr>
        <w:ind w:left="360" w:hanging="360"/>
      </w:pPr>
      <w:rPr>
        <w:rFonts w:ascii="Symbol" w:hAnsi="Symbol" w:hint="default"/>
      </w:rPr>
    </w:lvl>
    <w:lvl w:ilvl="1" w:tplc="DE7CB3EC" w:tentative="1">
      <w:start w:val="1"/>
      <w:numFmt w:val="bullet"/>
      <w:lvlText w:val="o"/>
      <w:lvlJc w:val="left"/>
      <w:pPr>
        <w:ind w:left="1080" w:hanging="360"/>
      </w:pPr>
      <w:rPr>
        <w:rFonts w:ascii="Courier New" w:hAnsi="Courier New" w:cs="Courier New" w:hint="default"/>
      </w:rPr>
    </w:lvl>
    <w:lvl w:ilvl="2" w:tplc="EF9609D6" w:tentative="1">
      <w:start w:val="1"/>
      <w:numFmt w:val="bullet"/>
      <w:lvlText w:val=""/>
      <w:lvlJc w:val="left"/>
      <w:pPr>
        <w:ind w:left="1800" w:hanging="360"/>
      </w:pPr>
      <w:rPr>
        <w:rFonts w:ascii="Wingdings" w:hAnsi="Wingdings" w:hint="default"/>
      </w:rPr>
    </w:lvl>
    <w:lvl w:ilvl="3" w:tplc="D93A41DA" w:tentative="1">
      <w:start w:val="1"/>
      <w:numFmt w:val="bullet"/>
      <w:lvlText w:val=""/>
      <w:lvlJc w:val="left"/>
      <w:pPr>
        <w:ind w:left="2520" w:hanging="360"/>
      </w:pPr>
      <w:rPr>
        <w:rFonts w:ascii="Symbol" w:hAnsi="Symbol" w:hint="default"/>
      </w:rPr>
    </w:lvl>
    <w:lvl w:ilvl="4" w:tplc="CECC0B46" w:tentative="1">
      <w:start w:val="1"/>
      <w:numFmt w:val="bullet"/>
      <w:lvlText w:val="o"/>
      <w:lvlJc w:val="left"/>
      <w:pPr>
        <w:ind w:left="3240" w:hanging="360"/>
      </w:pPr>
      <w:rPr>
        <w:rFonts w:ascii="Courier New" w:hAnsi="Courier New" w:cs="Courier New" w:hint="default"/>
      </w:rPr>
    </w:lvl>
    <w:lvl w:ilvl="5" w:tplc="D92AC770" w:tentative="1">
      <w:start w:val="1"/>
      <w:numFmt w:val="bullet"/>
      <w:lvlText w:val=""/>
      <w:lvlJc w:val="left"/>
      <w:pPr>
        <w:ind w:left="3960" w:hanging="360"/>
      </w:pPr>
      <w:rPr>
        <w:rFonts w:ascii="Wingdings" w:hAnsi="Wingdings" w:hint="default"/>
      </w:rPr>
    </w:lvl>
    <w:lvl w:ilvl="6" w:tplc="D1BEDF1C" w:tentative="1">
      <w:start w:val="1"/>
      <w:numFmt w:val="bullet"/>
      <w:lvlText w:val=""/>
      <w:lvlJc w:val="left"/>
      <w:pPr>
        <w:ind w:left="4680" w:hanging="360"/>
      </w:pPr>
      <w:rPr>
        <w:rFonts w:ascii="Symbol" w:hAnsi="Symbol" w:hint="default"/>
      </w:rPr>
    </w:lvl>
    <w:lvl w:ilvl="7" w:tplc="F8129160" w:tentative="1">
      <w:start w:val="1"/>
      <w:numFmt w:val="bullet"/>
      <w:lvlText w:val="o"/>
      <w:lvlJc w:val="left"/>
      <w:pPr>
        <w:ind w:left="5400" w:hanging="360"/>
      </w:pPr>
      <w:rPr>
        <w:rFonts w:ascii="Courier New" w:hAnsi="Courier New" w:cs="Courier New" w:hint="default"/>
      </w:rPr>
    </w:lvl>
    <w:lvl w:ilvl="8" w:tplc="7D2EE9FE" w:tentative="1">
      <w:start w:val="1"/>
      <w:numFmt w:val="bullet"/>
      <w:lvlText w:val=""/>
      <w:lvlJc w:val="left"/>
      <w:pPr>
        <w:ind w:left="6120" w:hanging="360"/>
      </w:pPr>
      <w:rPr>
        <w:rFonts w:ascii="Wingdings" w:hAnsi="Wingdings" w:hint="default"/>
      </w:rPr>
    </w:lvl>
  </w:abstractNum>
  <w:abstractNum w:abstractNumId="4" w15:restartNumberingAfterBreak="0">
    <w:nsid w:val="2F730A19"/>
    <w:multiLevelType w:val="hybridMultilevel"/>
    <w:tmpl w:val="4950E59A"/>
    <w:lvl w:ilvl="0" w:tplc="7CAE8B64">
      <w:start w:val="1"/>
      <w:numFmt w:val="bullet"/>
      <w:lvlText w:val=""/>
      <w:lvlJc w:val="left"/>
      <w:pPr>
        <w:ind w:left="360" w:hanging="360"/>
      </w:pPr>
      <w:rPr>
        <w:rFonts w:ascii="Symbol" w:hAnsi="Symbol" w:hint="default"/>
      </w:rPr>
    </w:lvl>
    <w:lvl w:ilvl="1" w:tplc="1C7AECCA">
      <w:start w:val="1"/>
      <w:numFmt w:val="bullet"/>
      <w:lvlText w:val="o"/>
      <w:lvlJc w:val="left"/>
      <w:pPr>
        <w:ind w:left="1080" w:hanging="360"/>
      </w:pPr>
      <w:rPr>
        <w:rFonts w:ascii="Courier New" w:hAnsi="Courier New" w:cs="Courier New" w:hint="default"/>
      </w:rPr>
    </w:lvl>
    <w:lvl w:ilvl="2" w:tplc="903E201A">
      <w:start w:val="1"/>
      <w:numFmt w:val="bullet"/>
      <w:lvlText w:val=""/>
      <w:lvlJc w:val="left"/>
      <w:pPr>
        <w:ind w:left="1800" w:hanging="360"/>
      </w:pPr>
      <w:rPr>
        <w:rFonts w:ascii="Wingdings" w:hAnsi="Wingdings" w:hint="default"/>
      </w:rPr>
    </w:lvl>
    <w:lvl w:ilvl="3" w:tplc="C85E55FC" w:tentative="1">
      <w:start w:val="1"/>
      <w:numFmt w:val="bullet"/>
      <w:lvlText w:val=""/>
      <w:lvlJc w:val="left"/>
      <w:pPr>
        <w:ind w:left="2520" w:hanging="360"/>
      </w:pPr>
      <w:rPr>
        <w:rFonts w:ascii="Symbol" w:hAnsi="Symbol" w:hint="default"/>
      </w:rPr>
    </w:lvl>
    <w:lvl w:ilvl="4" w:tplc="353EF172" w:tentative="1">
      <w:start w:val="1"/>
      <w:numFmt w:val="bullet"/>
      <w:lvlText w:val="o"/>
      <w:lvlJc w:val="left"/>
      <w:pPr>
        <w:ind w:left="3240" w:hanging="360"/>
      </w:pPr>
      <w:rPr>
        <w:rFonts w:ascii="Courier New" w:hAnsi="Courier New" w:cs="Courier New" w:hint="default"/>
      </w:rPr>
    </w:lvl>
    <w:lvl w:ilvl="5" w:tplc="6054E568" w:tentative="1">
      <w:start w:val="1"/>
      <w:numFmt w:val="bullet"/>
      <w:lvlText w:val=""/>
      <w:lvlJc w:val="left"/>
      <w:pPr>
        <w:ind w:left="3960" w:hanging="360"/>
      </w:pPr>
      <w:rPr>
        <w:rFonts w:ascii="Wingdings" w:hAnsi="Wingdings" w:hint="default"/>
      </w:rPr>
    </w:lvl>
    <w:lvl w:ilvl="6" w:tplc="5D6A15E2" w:tentative="1">
      <w:start w:val="1"/>
      <w:numFmt w:val="bullet"/>
      <w:lvlText w:val=""/>
      <w:lvlJc w:val="left"/>
      <w:pPr>
        <w:ind w:left="4680" w:hanging="360"/>
      </w:pPr>
      <w:rPr>
        <w:rFonts w:ascii="Symbol" w:hAnsi="Symbol" w:hint="default"/>
      </w:rPr>
    </w:lvl>
    <w:lvl w:ilvl="7" w:tplc="C1CEB3F0" w:tentative="1">
      <w:start w:val="1"/>
      <w:numFmt w:val="bullet"/>
      <w:lvlText w:val="o"/>
      <w:lvlJc w:val="left"/>
      <w:pPr>
        <w:ind w:left="5400" w:hanging="360"/>
      </w:pPr>
      <w:rPr>
        <w:rFonts w:ascii="Courier New" w:hAnsi="Courier New" w:cs="Courier New" w:hint="default"/>
      </w:rPr>
    </w:lvl>
    <w:lvl w:ilvl="8" w:tplc="96B4273A" w:tentative="1">
      <w:start w:val="1"/>
      <w:numFmt w:val="bullet"/>
      <w:lvlText w:val=""/>
      <w:lvlJc w:val="left"/>
      <w:pPr>
        <w:ind w:left="6120" w:hanging="360"/>
      </w:pPr>
      <w:rPr>
        <w:rFonts w:ascii="Wingdings" w:hAnsi="Wingdings" w:hint="default"/>
      </w:rPr>
    </w:lvl>
  </w:abstractNum>
  <w:abstractNum w:abstractNumId="5" w15:restartNumberingAfterBreak="0">
    <w:nsid w:val="36B91BA0"/>
    <w:multiLevelType w:val="hybridMultilevel"/>
    <w:tmpl w:val="05583CDA"/>
    <w:lvl w:ilvl="0" w:tplc="940C0126">
      <w:start w:val="1"/>
      <w:numFmt w:val="bullet"/>
      <w:lvlText w:val=""/>
      <w:lvlJc w:val="left"/>
      <w:pPr>
        <w:ind w:left="360" w:hanging="360"/>
      </w:pPr>
      <w:rPr>
        <w:rFonts w:ascii="Symbol" w:hAnsi="Symbol" w:hint="default"/>
      </w:rPr>
    </w:lvl>
    <w:lvl w:ilvl="1" w:tplc="85F4625E" w:tentative="1">
      <w:start w:val="1"/>
      <w:numFmt w:val="bullet"/>
      <w:lvlText w:val="o"/>
      <w:lvlJc w:val="left"/>
      <w:pPr>
        <w:ind w:left="1080" w:hanging="360"/>
      </w:pPr>
      <w:rPr>
        <w:rFonts w:ascii="Courier New" w:hAnsi="Courier New" w:cs="Courier New" w:hint="default"/>
      </w:rPr>
    </w:lvl>
    <w:lvl w:ilvl="2" w:tplc="06A2CF26" w:tentative="1">
      <w:start w:val="1"/>
      <w:numFmt w:val="bullet"/>
      <w:lvlText w:val=""/>
      <w:lvlJc w:val="left"/>
      <w:pPr>
        <w:ind w:left="1800" w:hanging="360"/>
      </w:pPr>
      <w:rPr>
        <w:rFonts w:ascii="Wingdings" w:hAnsi="Wingdings" w:hint="default"/>
      </w:rPr>
    </w:lvl>
    <w:lvl w:ilvl="3" w:tplc="7E7AA15E" w:tentative="1">
      <w:start w:val="1"/>
      <w:numFmt w:val="bullet"/>
      <w:lvlText w:val=""/>
      <w:lvlJc w:val="left"/>
      <w:pPr>
        <w:ind w:left="2520" w:hanging="360"/>
      </w:pPr>
      <w:rPr>
        <w:rFonts w:ascii="Symbol" w:hAnsi="Symbol" w:hint="default"/>
      </w:rPr>
    </w:lvl>
    <w:lvl w:ilvl="4" w:tplc="2D1870BC" w:tentative="1">
      <w:start w:val="1"/>
      <w:numFmt w:val="bullet"/>
      <w:lvlText w:val="o"/>
      <w:lvlJc w:val="left"/>
      <w:pPr>
        <w:ind w:left="3240" w:hanging="360"/>
      </w:pPr>
      <w:rPr>
        <w:rFonts w:ascii="Courier New" w:hAnsi="Courier New" w:cs="Courier New" w:hint="default"/>
      </w:rPr>
    </w:lvl>
    <w:lvl w:ilvl="5" w:tplc="68E44BAC" w:tentative="1">
      <w:start w:val="1"/>
      <w:numFmt w:val="bullet"/>
      <w:lvlText w:val=""/>
      <w:lvlJc w:val="left"/>
      <w:pPr>
        <w:ind w:left="3960" w:hanging="360"/>
      </w:pPr>
      <w:rPr>
        <w:rFonts w:ascii="Wingdings" w:hAnsi="Wingdings" w:hint="default"/>
      </w:rPr>
    </w:lvl>
    <w:lvl w:ilvl="6" w:tplc="5F0A6402" w:tentative="1">
      <w:start w:val="1"/>
      <w:numFmt w:val="bullet"/>
      <w:lvlText w:val=""/>
      <w:lvlJc w:val="left"/>
      <w:pPr>
        <w:ind w:left="4680" w:hanging="360"/>
      </w:pPr>
      <w:rPr>
        <w:rFonts w:ascii="Symbol" w:hAnsi="Symbol" w:hint="default"/>
      </w:rPr>
    </w:lvl>
    <w:lvl w:ilvl="7" w:tplc="1F86C2AA" w:tentative="1">
      <w:start w:val="1"/>
      <w:numFmt w:val="bullet"/>
      <w:lvlText w:val="o"/>
      <w:lvlJc w:val="left"/>
      <w:pPr>
        <w:ind w:left="5400" w:hanging="360"/>
      </w:pPr>
      <w:rPr>
        <w:rFonts w:ascii="Courier New" w:hAnsi="Courier New" w:cs="Courier New" w:hint="default"/>
      </w:rPr>
    </w:lvl>
    <w:lvl w:ilvl="8" w:tplc="A956DCEA" w:tentative="1">
      <w:start w:val="1"/>
      <w:numFmt w:val="bullet"/>
      <w:lvlText w:val=""/>
      <w:lvlJc w:val="left"/>
      <w:pPr>
        <w:ind w:left="6120" w:hanging="360"/>
      </w:pPr>
      <w:rPr>
        <w:rFonts w:ascii="Wingdings" w:hAnsi="Wingdings" w:hint="default"/>
      </w:rPr>
    </w:lvl>
  </w:abstractNum>
  <w:abstractNum w:abstractNumId="6" w15:restartNumberingAfterBreak="0">
    <w:nsid w:val="635F7F50"/>
    <w:multiLevelType w:val="hybridMultilevel"/>
    <w:tmpl w:val="ED988738"/>
    <w:lvl w:ilvl="0" w:tplc="86864A98">
      <w:start w:val="1"/>
      <w:numFmt w:val="bullet"/>
      <w:lvlText w:val=""/>
      <w:lvlJc w:val="left"/>
      <w:pPr>
        <w:ind w:left="720" w:hanging="360"/>
      </w:pPr>
      <w:rPr>
        <w:rFonts w:ascii="Symbol" w:hAnsi="Symbol" w:hint="default"/>
        <w:color w:val="auto"/>
      </w:rPr>
    </w:lvl>
    <w:lvl w:ilvl="1" w:tplc="25BC18E4" w:tentative="1">
      <w:start w:val="1"/>
      <w:numFmt w:val="bullet"/>
      <w:lvlText w:val="o"/>
      <w:lvlJc w:val="left"/>
      <w:pPr>
        <w:ind w:left="1440" w:hanging="360"/>
      </w:pPr>
      <w:rPr>
        <w:rFonts w:ascii="Courier New" w:hAnsi="Courier New" w:cs="Courier New" w:hint="default"/>
      </w:rPr>
    </w:lvl>
    <w:lvl w:ilvl="2" w:tplc="54ACBD3A" w:tentative="1">
      <w:start w:val="1"/>
      <w:numFmt w:val="bullet"/>
      <w:lvlText w:val=""/>
      <w:lvlJc w:val="left"/>
      <w:pPr>
        <w:ind w:left="2160" w:hanging="360"/>
      </w:pPr>
      <w:rPr>
        <w:rFonts w:ascii="Wingdings" w:hAnsi="Wingdings" w:hint="default"/>
      </w:rPr>
    </w:lvl>
    <w:lvl w:ilvl="3" w:tplc="FE70DAE4" w:tentative="1">
      <w:start w:val="1"/>
      <w:numFmt w:val="bullet"/>
      <w:lvlText w:val=""/>
      <w:lvlJc w:val="left"/>
      <w:pPr>
        <w:ind w:left="2880" w:hanging="360"/>
      </w:pPr>
      <w:rPr>
        <w:rFonts w:ascii="Symbol" w:hAnsi="Symbol" w:hint="default"/>
      </w:rPr>
    </w:lvl>
    <w:lvl w:ilvl="4" w:tplc="EC2AC808" w:tentative="1">
      <w:start w:val="1"/>
      <w:numFmt w:val="bullet"/>
      <w:lvlText w:val="o"/>
      <w:lvlJc w:val="left"/>
      <w:pPr>
        <w:ind w:left="3600" w:hanging="360"/>
      </w:pPr>
      <w:rPr>
        <w:rFonts w:ascii="Courier New" w:hAnsi="Courier New" w:cs="Courier New" w:hint="default"/>
      </w:rPr>
    </w:lvl>
    <w:lvl w:ilvl="5" w:tplc="7E5404B2" w:tentative="1">
      <w:start w:val="1"/>
      <w:numFmt w:val="bullet"/>
      <w:lvlText w:val=""/>
      <w:lvlJc w:val="left"/>
      <w:pPr>
        <w:ind w:left="4320" w:hanging="360"/>
      </w:pPr>
      <w:rPr>
        <w:rFonts w:ascii="Wingdings" w:hAnsi="Wingdings" w:hint="default"/>
      </w:rPr>
    </w:lvl>
    <w:lvl w:ilvl="6" w:tplc="78D61872" w:tentative="1">
      <w:start w:val="1"/>
      <w:numFmt w:val="bullet"/>
      <w:lvlText w:val=""/>
      <w:lvlJc w:val="left"/>
      <w:pPr>
        <w:ind w:left="5040" w:hanging="360"/>
      </w:pPr>
      <w:rPr>
        <w:rFonts w:ascii="Symbol" w:hAnsi="Symbol" w:hint="default"/>
      </w:rPr>
    </w:lvl>
    <w:lvl w:ilvl="7" w:tplc="18889DAA" w:tentative="1">
      <w:start w:val="1"/>
      <w:numFmt w:val="bullet"/>
      <w:lvlText w:val="o"/>
      <w:lvlJc w:val="left"/>
      <w:pPr>
        <w:ind w:left="5760" w:hanging="360"/>
      </w:pPr>
      <w:rPr>
        <w:rFonts w:ascii="Courier New" w:hAnsi="Courier New" w:cs="Courier New" w:hint="default"/>
      </w:rPr>
    </w:lvl>
    <w:lvl w:ilvl="8" w:tplc="1CC2C1EE" w:tentative="1">
      <w:start w:val="1"/>
      <w:numFmt w:val="bullet"/>
      <w:lvlText w:val=""/>
      <w:lvlJc w:val="left"/>
      <w:pPr>
        <w:ind w:left="6480" w:hanging="360"/>
      </w:pPr>
      <w:rPr>
        <w:rFonts w:ascii="Wingdings" w:hAnsi="Wingdings" w:hint="default"/>
      </w:rPr>
    </w:lvl>
  </w:abstractNum>
  <w:abstractNum w:abstractNumId="7" w15:restartNumberingAfterBreak="0">
    <w:nsid w:val="74EA04C6"/>
    <w:multiLevelType w:val="hybridMultilevel"/>
    <w:tmpl w:val="C08E8AA2"/>
    <w:lvl w:ilvl="0" w:tplc="96FA6394">
      <w:start w:val="1"/>
      <w:numFmt w:val="bullet"/>
      <w:lvlText w:val=""/>
      <w:lvlJc w:val="left"/>
      <w:pPr>
        <w:ind w:left="360" w:hanging="360"/>
      </w:pPr>
      <w:rPr>
        <w:rFonts w:ascii="Symbol" w:hAnsi="Symbol" w:hint="default"/>
      </w:rPr>
    </w:lvl>
    <w:lvl w:ilvl="1" w:tplc="B77EE81C" w:tentative="1">
      <w:start w:val="1"/>
      <w:numFmt w:val="bullet"/>
      <w:lvlText w:val="o"/>
      <w:lvlJc w:val="left"/>
      <w:pPr>
        <w:ind w:left="1080" w:hanging="360"/>
      </w:pPr>
      <w:rPr>
        <w:rFonts w:ascii="Courier New" w:hAnsi="Courier New" w:cs="Courier New" w:hint="default"/>
      </w:rPr>
    </w:lvl>
    <w:lvl w:ilvl="2" w:tplc="1D34C7A0" w:tentative="1">
      <w:start w:val="1"/>
      <w:numFmt w:val="bullet"/>
      <w:lvlText w:val=""/>
      <w:lvlJc w:val="left"/>
      <w:pPr>
        <w:ind w:left="1800" w:hanging="360"/>
      </w:pPr>
      <w:rPr>
        <w:rFonts w:ascii="Wingdings" w:hAnsi="Wingdings" w:hint="default"/>
      </w:rPr>
    </w:lvl>
    <w:lvl w:ilvl="3" w:tplc="F2067E36" w:tentative="1">
      <w:start w:val="1"/>
      <w:numFmt w:val="bullet"/>
      <w:lvlText w:val=""/>
      <w:lvlJc w:val="left"/>
      <w:pPr>
        <w:ind w:left="2520" w:hanging="360"/>
      </w:pPr>
      <w:rPr>
        <w:rFonts w:ascii="Symbol" w:hAnsi="Symbol" w:hint="default"/>
      </w:rPr>
    </w:lvl>
    <w:lvl w:ilvl="4" w:tplc="64AA4052" w:tentative="1">
      <w:start w:val="1"/>
      <w:numFmt w:val="bullet"/>
      <w:lvlText w:val="o"/>
      <w:lvlJc w:val="left"/>
      <w:pPr>
        <w:ind w:left="3240" w:hanging="360"/>
      </w:pPr>
      <w:rPr>
        <w:rFonts w:ascii="Courier New" w:hAnsi="Courier New" w:cs="Courier New" w:hint="default"/>
      </w:rPr>
    </w:lvl>
    <w:lvl w:ilvl="5" w:tplc="E394377A" w:tentative="1">
      <w:start w:val="1"/>
      <w:numFmt w:val="bullet"/>
      <w:lvlText w:val=""/>
      <w:lvlJc w:val="left"/>
      <w:pPr>
        <w:ind w:left="3960" w:hanging="360"/>
      </w:pPr>
      <w:rPr>
        <w:rFonts w:ascii="Wingdings" w:hAnsi="Wingdings" w:hint="default"/>
      </w:rPr>
    </w:lvl>
    <w:lvl w:ilvl="6" w:tplc="D42AE524" w:tentative="1">
      <w:start w:val="1"/>
      <w:numFmt w:val="bullet"/>
      <w:lvlText w:val=""/>
      <w:lvlJc w:val="left"/>
      <w:pPr>
        <w:ind w:left="4680" w:hanging="360"/>
      </w:pPr>
      <w:rPr>
        <w:rFonts w:ascii="Symbol" w:hAnsi="Symbol" w:hint="default"/>
      </w:rPr>
    </w:lvl>
    <w:lvl w:ilvl="7" w:tplc="40FC58EC" w:tentative="1">
      <w:start w:val="1"/>
      <w:numFmt w:val="bullet"/>
      <w:lvlText w:val="o"/>
      <w:lvlJc w:val="left"/>
      <w:pPr>
        <w:ind w:left="5400" w:hanging="360"/>
      </w:pPr>
      <w:rPr>
        <w:rFonts w:ascii="Courier New" w:hAnsi="Courier New" w:cs="Courier New" w:hint="default"/>
      </w:rPr>
    </w:lvl>
    <w:lvl w:ilvl="8" w:tplc="C97C0ECE" w:tentative="1">
      <w:start w:val="1"/>
      <w:numFmt w:val="bullet"/>
      <w:lvlText w:val=""/>
      <w:lvlJc w:val="left"/>
      <w:pPr>
        <w:ind w:left="6120" w:hanging="360"/>
      </w:pPr>
      <w:rPr>
        <w:rFonts w:ascii="Wingdings" w:hAnsi="Wingdings" w:hint="default"/>
      </w:rPr>
    </w:lvl>
  </w:abstractNum>
  <w:num w:numId="1" w16cid:durableId="86972635">
    <w:abstractNumId w:val="2"/>
  </w:num>
  <w:num w:numId="2" w16cid:durableId="988826460">
    <w:abstractNumId w:val="6"/>
  </w:num>
  <w:num w:numId="3" w16cid:durableId="1356732825">
    <w:abstractNumId w:val="0"/>
  </w:num>
  <w:num w:numId="4" w16cid:durableId="209265606">
    <w:abstractNumId w:val="1"/>
  </w:num>
  <w:num w:numId="5" w16cid:durableId="97676615">
    <w:abstractNumId w:val="4"/>
  </w:num>
  <w:num w:numId="6" w16cid:durableId="941642865">
    <w:abstractNumId w:val="7"/>
  </w:num>
  <w:num w:numId="7" w16cid:durableId="778376509">
    <w:abstractNumId w:val="5"/>
  </w:num>
  <w:num w:numId="8" w16cid:durableId="153599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F8"/>
    <w:rsid w:val="000C1BC8"/>
    <w:rsid w:val="001530AB"/>
    <w:rsid w:val="00243FB2"/>
    <w:rsid w:val="002512C3"/>
    <w:rsid w:val="002559BF"/>
    <w:rsid w:val="003A3ECB"/>
    <w:rsid w:val="00401FCD"/>
    <w:rsid w:val="004F36A7"/>
    <w:rsid w:val="00543AEE"/>
    <w:rsid w:val="00570001"/>
    <w:rsid w:val="00587487"/>
    <w:rsid w:val="005E1B96"/>
    <w:rsid w:val="006966F3"/>
    <w:rsid w:val="006A2883"/>
    <w:rsid w:val="00733A46"/>
    <w:rsid w:val="007A1F5A"/>
    <w:rsid w:val="007D67DC"/>
    <w:rsid w:val="00881579"/>
    <w:rsid w:val="008C2157"/>
    <w:rsid w:val="008C5133"/>
    <w:rsid w:val="008C5BEA"/>
    <w:rsid w:val="00907273"/>
    <w:rsid w:val="00966F21"/>
    <w:rsid w:val="00A05DE4"/>
    <w:rsid w:val="00A53C40"/>
    <w:rsid w:val="00AB697C"/>
    <w:rsid w:val="00AD44F2"/>
    <w:rsid w:val="00B262EB"/>
    <w:rsid w:val="00B51C97"/>
    <w:rsid w:val="00B567F8"/>
    <w:rsid w:val="00C461A8"/>
    <w:rsid w:val="00C65C08"/>
    <w:rsid w:val="00CC23D3"/>
    <w:rsid w:val="00DA2151"/>
    <w:rsid w:val="00E23098"/>
    <w:rsid w:val="00F419FF"/>
    <w:rsid w:val="00F96130"/>
    <w:rsid w:val="00FA4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7494A93"/>
  <w15:chartTrackingRefBased/>
  <w15:docId w15:val="{8669E10C-4E41-490F-AFB1-1D10BDB3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B567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B567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B567F8"/>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B567F8"/>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B567F8"/>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B567F8"/>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B567F8"/>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B567F8"/>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B567F8"/>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67F8"/>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B567F8"/>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B567F8"/>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B567F8"/>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B567F8"/>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B567F8"/>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B567F8"/>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B567F8"/>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B567F8"/>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B567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B567F8"/>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B567F8"/>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B567F8"/>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B567F8"/>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B567F8"/>
    <w:rPr>
      <w:i/>
      <w:iCs/>
      <w:color w:val="404040" w:themeColor="text1" w:themeTint="BF"/>
    </w:rPr>
  </w:style>
  <w:style w:type="paragraph" w:styleId="Sarakstarindkopa">
    <w:name w:val="List Paragraph"/>
    <w:basedOn w:val="Parasts"/>
    <w:uiPriority w:val="34"/>
    <w:qFormat/>
    <w:rsid w:val="00B567F8"/>
    <w:pPr>
      <w:ind w:left="720"/>
      <w:contextualSpacing/>
    </w:pPr>
  </w:style>
  <w:style w:type="character" w:styleId="Intensvsizclums">
    <w:name w:val="Intense Emphasis"/>
    <w:basedOn w:val="Noklusjumarindkopasfonts"/>
    <w:uiPriority w:val="21"/>
    <w:qFormat/>
    <w:rsid w:val="00B567F8"/>
    <w:rPr>
      <w:i/>
      <w:iCs/>
      <w:color w:val="0F4761" w:themeColor="accent1" w:themeShade="BF"/>
    </w:rPr>
  </w:style>
  <w:style w:type="paragraph" w:styleId="Intensvscitts">
    <w:name w:val="Intense Quote"/>
    <w:basedOn w:val="Parasts"/>
    <w:next w:val="Parasts"/>
    <w:link w:val="IntensvscittsRakstz"/>
    <w:uiPriority w:val="30"/>
    <w:qFormat/>
    <w:rsid w:val="00B567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B567F8"/>
    <w:rPr>
      <w:i/>
      <w:iCs/>
      <w:color w:val="0F4761" w:themeColor="accent1" w:themeShade="BF"/>
    </w:rPr>
  </w:style>
  <w:style w:type="character" w:styleId="Intensvaatsauce">
    <w:name w:val="Intense Reference"/>
    <w:basedOn w:val="Noklusjumarindkopasfonts"/>
    <w:uiPriority w:val="32"/>
    <w:qFormat/>
    <w:rsid w:val="00B567F8"/>
    <w:rPr>
      <w:b/>
      <w:bCs/>
      <w:smallCaps/>
      <w:color w:val="0F4761" w:themeColor="accent1" w:themeShade="BF"/>
      <w:spacing w:val="5"/>
    </w:rPr>
  </w:style>
  <w:style w:type="paragraph" w:styleId="Galvene">
    <w:name w:val="header"/>
    <w:basedOn w:val="Parasts"/>
    <w:link w:val="GalveneRakstz"/>
    <w:uiPriority w:val="99"/>
    <w:unhideWhenUsed/>
    <w:rsid w:val="00B567F8"/>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567F8"/>
  </w:style>
  <w:style w:type="paragraph" w:styleId="Kjene">
    <w:name w:val="footer"/>
    <w:basedOn w:val="Parasts"/>
    <w:link w:val="KjeneRakstz"/>
    <w:uiPriority w:val="99"/>
    <w:unhideWhenUsed/>
    <w:rsid w:val="00B567F8"/>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567F8"/>
  </w:style>
  <w:style w:type="paragraph" w:customStyle="1" w:styleId="KAMKNormal">
    <w:name w:val="KAMKNormal"/>
    <w:basedOn w:val="Parasts"/>
    <w:link w:val="KAMKNormalChar"/>
    <w:qFormat/>
    <w:rsid w:val="00FA4AFE"/>
    <w:pPr>
      <w:spacing w:before="120" w:after="120" w:line="240" w:lineRule="auto"/>
    </w:pPr>
    <w:rPr>
      <w:rFonts w:ascii="Tahoma" w:eastAsia="Times New Roman" w:hAnsi="Tahoma" w:cs="Times New Roman"/>
      <w:color w:val="000000"/>
      <w:kern w:val="0"/>
      <w:sz w:val="22"/>
      <w:lang w:val="lv-LV"/>
      <w14:ligatures w14:val="none"/>
    </w:rPr>
  </w:style>
  <w:style w:type="character" w:customStyle="1" w:styleId="KAMKNormalChar">
    <w:name w:val="KAMKNormal Char"/>
    <w:link w:val="KAMKNormal"/>
    <w:rsid w:val="00FA4AFE"/>
    <w:rPr>
      <w:rFonts w:ascii="Tahoma" w:eastAsia="Times New Roman" w:hAnsi="Tahoma" w:cs="Times New Roman"/>
      <w:color w:val="000000"/>
      <w:kern w:val="0"/>
      <w:sz w:val="22"/>
      <w:lang w:val="lv-LV"/>
      <w14:ligatures w14:val="none"/>
    </w:rPr>
  </w:style>
  <w:style w:type="paragraph" w:customStyle="1" w:styleId="RNormal">
    <w:name w:val="RNormal"/>
    <w:basedOn w:val="Parasts"/>
    <w:rsid w:val="00FA4AFE"/>
    <w:pPr>
      <w:spacing w:after="0" w:line="240" w:lineRule="auto"/>
      <w:jc w:val="both"/>
    </w:pPr>
    <w:rPr>
      <w:rFonts w:ascii="Times New Roman" w:eastAsia="Times New Roman" w:hAnsi="Times New Roman" w:cs="Times New Roman"/>
      <w:kern w:val="0"/>
      <w:sz w:val="22"/>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jansone@nexi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6B55-23C0-4DDA-B580-B7D0C91A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6518</Words>
  <Characters>3716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Molčanova</dc:creator>
  <cp:lastModifiedBy>Sintija Biša</cp:lastModifiedBy>
  <cp:revision>2</cp:revision>
  <cp:lastPrinted>2024-03-18T13:46:00Z</cp:lastPrinted>
  <dcterms:created xsi:type="dcterms:W3CDTF">2024-03-28T07:15:00Z</dcterms:created>
  <dcterms:modified xsi:type="dcterms:W3CDTF">2024-03-28T07:15:00Z</dcterms:modified>
</cp:coreProperties>
</file>