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B4657F" w:rsidRDefault="000F232A" w:rsidP="00607627">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F674C0">
      <w:pPr>
        <w:widowControl w:val="0"/>
        <w:autoSpaceDE w:val="0"/>
        <w:autoSpaceDN w:val="0"/>
        <w:adjustRightInd w:val="0"/>
        <w:ind w:right="140"/>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F674C0">
      <w:pPr>
        <w:widowControl w:val="0"/>
        <w:autoSpaceDE w:val="0"/>
        <w:autoSpaceDN w:val="0"/>
        <w:adjustRightInd w:val="0"/>
        <w:ind w:right="140"/>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0D552AB7" w:rsidR="00B4657F" w:rsidRPr="00B4657F" w:rsidRDefault="00F674C0" w:rsidP="00F674C0">
      <w:pPr>
        <w:widowControl w:val="0"/>
        <w:autoSpaceDE w:val="0"/>
        <w:autoSpaceDN w:val="0"/>
        <w:adjustRightInd w:val="0"/>
        <w:ind w:right="140"/>
        <w:jc w:val="right"/>
        <w:rPr>
          <w:rFonts w:ascii="Arial" w:hAnsi="Arial" w:cs="Arial"/>
          <w:bCs/>
          <w:sz w:val="20"/>
          <w:szCs w:val="20"/>
        </w:rPr>
      </w:pPr>
      <w:r>
        <w:rPr>
          <w:rFonts w:ascii="Arial" w:hAnsi="Arial" w:cs="Arial"/>
          <w:bCs/>
          <w:sz w:val="20"/>
          <w:szCs w:val="20"/>
        </w:rPr>
        <w:t xml:space="preserve"> 2019</w:t>
      </w:r>
      <w:r w:rsidR="00B4657F" w:rsidRPr="001D6E78">
        <w:rPr>
          <w:rFonts w:ascii="Arial" w:hAnsi="Arial" w:cs="Arial"/>
          <w:bCs/>
          <w:sz w:val="20"/>
          <w:szCs w:val="20"/>
        </w:rPr>
        <w:t>.gada</w:t>
      </w:r>
      <w:r w:rsidR="00B379B5">
        <w:rPr>
          <w:rFonts w:ascii="Arial" w:hAnsi="Arial" w:cs="Arial"/>
          <w:bCs/>
          <w:sz w:val="20"/>
          <w:szCs w:val="20"/>
        </w:rPr>
        <w:t xml:space="preserve"> </w:t>
      </w:r>
      <w:r w:rsidR="00592A8F">
        <w:rPr>
          <w:rFonts w:ascii="Arial" w:hAnsi="Arial" w:cs="Arial"/>
          <w:bCs/>
          <w:sz w:val="20"/>
          <w:szCs w:val="20"/>
        </w:rPr>
        <w:t>21</w:t>
      </w:r>
      <w:r w:rsidR="003036CC">
        <w:rPr>
          <w:rFonts w:ascii="Arial" w:hAnsi="Arial" w:cs="Arial"/>
          <w:bCs/>
          <w:sz w:val="20"/>
          <w:szCs w:val="20"/>
        </w:rPr>
        <w:t>.augusta</w:t>
      </w:r>
      <w:r w:rsidR="006922BF">
        <w:rPr>
          <w:rFonts w:ascii="Arial" w:hAnsi="Arial" w:cs="Arial"/>
          <w:bCs/>
          <w:sz w:val="20"/>
          <w:szCs w:val="20"/>
        </w:rPr>
        <w:t xml:space="preserve"> </w:t>
      </w:r>
      <w:r w:rsidR="00B4657F" w:rsidRPr="001D6E78">
        <w:rPr>
          <w:rFonts w:ascii="Arial" w:hAnsi="Arial" w:cs="Arial"/>
          <w:bCs/>
          <w:sz w:val="20"/>
          <w:szCs w:val="20"/>
        </w:rPr>
        <w:t>sēdē, protokols Nr.</w:t>
      </w:r>
      <w:r>
        <w:rPr>
          <w:rFonts w:ascii="Arial" w:hAnsi="Arial" w:cs="Arial"/>
          <w:bCs/>
          <w:sz w:val="20"/>
          <w:szCs w:val="20"/>
        </w:rPr>
        <w:t>2</w:t>
      </w:r>
      <w:r w:rsidR="00B4657F" w:rsidRPr="00B4657F">
        <w:rPr>
          <w:rFonts w:ascii="Arial" w:hAnsi="Arial" w:cs="Arial"/>
          <w:bCs/>
          <w:sz w:val="20"/>
          <w:szCs w:val="20"/>
        </w:rPr>
        <w:t xml:space="preserve"> </w:t>
      </w:r>
    </w:p>
    <w:p w14:paraId="6C6E80E3" w14:textId="77777777" w:rsidR="0070791A" w:rsidRDefault="0070791A" w:rsidP="00B4657F">
      <w:pPr>
        <w:ind w:right="-143"/>
        <w:jc w:val="both"/>
        <w:rPr>
          <w:rFonts w:ascii="Arial" w:hAnsi="Arial" w:cs="Arial"/>
          <w:b/>
          <w:sz w:val="20"/>
          <w:szCs w:val="20"/>
          <w:lang w:eastAsia="en-US"/>
        </w:rPr>
      </w:pPr>
    </w:p>
    <w:p w14:paraId="2D350486" w14:textId="77777777" w:rsidR="0070791A" w:rsidRDefault="0070791A" w:rsidP="00B4657F">
      <w:pPr>
        <w:ind w:right="-143"/>
        <w:jc w:val="both"/>
        <w:rPr>
          <w:rFonts w:ascii="Arial" w:hAnsi="Arial" w:cs="Arial"/>
          <w:b/>
          <w:sz w:val="20"/>
          <w:szCs w:val="20"/>
          <w:lang w:eastAsia="en-US"/>
        </w:rPr>
      </w:pPr>
    </w:p>
    <w:p w14:paraId="5E8A7A74" w14:textId="7168B87E" w:rsidR="00B4657F" w:rsidRPr="003036CC" w:rsidRDefault="00B4657F" w:rsidP="00292CFE">
      <w:pPr>
        <w:ind w:right="284"/>
        <w:jc w:val="both"/>
        <w:rPr>
          <w:rFonts w:ascii="Arial" w:hAnsi="Arial" w:cs="Arial"/>
          <w:b/>
          <w:i/>
          <w:u w:val="single"/>
        </w:rPr>
      </w:pPr>
      <w:r w:rsidRPr="003036CC">
        <w:rPr>
          <w:rFonts w:ascii="Arial" w:hAnsi="Arial" w:cs="Arial"/>
          <w:b/>
          <w:i/>
          <w:sz w:val="20"/>
          <w:szCs w:val="20"/>
          <w:lang w:eastAsia="en-US"/>
        </w:rPr>
        <w:t xml:space="preserve">Par </w:t>
      </w:r>
      <w:r w:rsidR="00F5411D">
        <w:rPr>
          <w:rFonts w:ascii="Arial" w:hAnsi="Arial" w:cs="Arial"/>
          <w:b/>
          <w:i/>
          <w:sz w:val="20"/>
          <w:szCs w:val="20"/>
          <w:lang w:eastAsia="en-US"/>
        </w:rPr>
        <w:t>atklāta konkursa</w:t>
      </w:r>
      <w:r w:rsidRPr="003036CC">
        <w:rPr>
          <w:rFonts w:ascii="Arial" w:hAnsi="Arial" w:cs="Arial"/>
          <w:b/>
          <w:i/>
          <w:sz w:val="20"/>
          <w:szCs w:val="20"/>
          <w:lang w:eastAsia="en-US"/>
        </w:rPr>
        <w:t xml:space="preserve"> </w:t>
      </w:r>
      <w:r w:rsidR="003036CC" w:rsidRPr="003036CC">
        <w:rPr>
          <w:rFonts w:ascii="Arial" w:hAnsi="Arial" w:cs="Arial"/>
          <w:b/>
          <w:i/>
          <w:sz w:val="20"/>
          <w:szCs w:val="20"/>
        </w:rPr>
        <w:t>“</w:t>
      </w:r>
      <w:r w:rsidR="00592A8F" w:rsidRPr="00592A8F">
        <w:rPr>
          <w:rFonts w:ascii="Arial" w:hAnsi="Arial" w:cs="Arial"/>
          <w:b/>
          <w:i/>
          <w:sz w:val="20"/>
          <w:szCs w:val="20"/>
        </w:rPr>
        <w:t>Luksoforu komponenšu un to piederumu piegāde</w:t>
      </w:r>
      <w:r w:rsidR="003036CC" w:rsidRPr="003036CC">
        <w:rPr>
          <w:rFonts w:ascii="Arial" w:hAnsi="Arial" w:cs="Arial"/>
          <w:b/>
          <w:i/>
          <w:sz w:val="20"/>
          <w:szCs w:val="20"/>
        </w:rPr>
        <w:t>”</w:t>
      </w:r>
      <w:r w:rsidR="003036CC" w:rsidRPr="003036CC">
        <w:rPr>
          <w:rFonts w:ascii="Arial" w:hAnsi="Arial" w:cs="Arial"/>
          <w:b/>
          <w:i/>
          <w:sz w:val="20"/>
          <w:szCs w:val="20"/>
          <w:lang w:eastAsia="ar-SA"/>
        </w:rPr>
        <w:t xml:space="preserve"> (LPP 2019/</w:t>
      </w:r>
      <w:r w:rsidR="00592A8F">
        <w:rPr>
          <w:rFonts w:ascii="Arial" w:hAnsi="Arial" w:cs="Arial"/>
          <w:b/>
          <w:i/>
          <w:sz w:val="20"/>
          <w:szCs w:val="20"/>
          <w:lang w:eastAsia="ar-SA"/>
        </w:rPr>
        <w:t>86</w:t>
      </w:r>
      <w:r w:rsidR="003036CC" w:rsidRPr="003036CC">
        <w:rPr>
          <w:rFonts w:ascii="Arial" w:hAnsi="Arial" w:cs="Arial"/>
          <w:b/>
          <w:i/>
          <w:sz w:val="20"/>
          <w:szCs w:val="20"/>
          <w:lang w:eastAsia="ar-SA"/>
        </w:rPr>
        <w:t xml:space="preserve">) </w:t>
      </w:r>
      <w:r w:rsidRPr="003036CC">
        <w:rPr>
          <w:rFonts w:ascii="Arial" w:hAnsi="Arial" w:cs="Arial"/>
          <w:b/>
          <w:i/>
          <w:sz w:val="20"/>
          <w:szCs w:val="20"/>
          <w:lang w:eastAsia="en-US"/>
        </w:rPr>
        <w:t xml:space="preserve">nolikuma </w:t>
      </w:r>
      <w:r w:rsidR="00F674C0" w:rsidRPr="003036CC">
        <w:rPr>
          <w:rFonts w:ascii="Arial" w:hAnsi="Arial" w:cs="Arial"/>
          <w:b/>
          <w:i/>
          <w:sz w:val="20"/>
          <w:szCs w:val="20"/>
          <w:lang w:eastAsia="en-US"/>
        </w:rPr>
        <w:t>skaidrojum</w:t>
      </w:r>
      <w:r w:rsidR="00F5411D">
        <w:rPr>
          <w:rFonts w:ascii="Arial" w:hAnsi="Arial" w:cs="Arial"/>
          <w:b/>
          <w:i/>
          <w:sz w:val="20"/>
          <w:szCs w:val="20"/>
          <w:lang w:eastAsia="en-US"/>
        </w:rPr>
        <w:t>iem</w:t>
      </w:r>
    </w:p>
    <w:p w14:paraId="01D15339" w14:textId="77777777" w:rsidR="00F674C0" w:rsidRDefault="00F674C0" w:rsidP="00B4657F">
      <w:pPr>
        <w:ind w:right="-143"/>
        <w:jc w:val="both"/>
        <w:rPr>
          <w:rFonts w:ascii="Arial" w:hAnsi="Arial" w:cs="Arial"/>
          <w:b/>
          <w:sz w:val="20"/>
          <w:szCs w:val="20"/>
          <w:lang w:eastAsia="en-US"/>
        </w:rPr>
      </w:pPr>
    </w:p>
    <w:p w14:paraId="56726F72" w14:textId="77777777" w:rsidR="00F674C0" w:rsidRDefault="00F674C0" w:rsidP="00B4657F">
      <w:pPr>
        <w:ind w:right="-143"/>
        <w:jc w:val="both"/>
        <w:rPr>
          <w:rFonts w:ascii="Arial" w:hAnsi="Arial" w:cs="Arial"/>
          <w:b/>
          <w:sz w:val="20"/>
          <w:szCs w:val="20"/>
          <w:lang w:eastAsia="en-US"/>
        </w:rPr>
      </w:pPr>
    </w:p>
    <w:tbl>
      <w:tblPr>
        <w:tblStyle w:val="Reatabula"/>
        <w:tblW w:w="0" w:type="auto"/>
        <w:tblLook w:val="04A0" w:firstRow="1" w:lastRow="0" w:firstColumn="1" w:lastColumn="0" w:noHBand="0" w:noVBand="1"/>
      </w:tblPr>
      <w:tblGrid>
        <w:gridCol w:w="709"/>
        <w:gridCol w:w="1559"/>
        <w:gridCol w:w="6771"/>
      </w:tblGrid>
      <w:tr w:rsidR="00B95E5F" w:rsidRPr="004E4D6A" w14:paraId="09C2A366" w14:textId="77777777" w:rsidTr="00827833">
        <w:trPr>
          <w:trHeight w:val="773"/>
        </w:trPr>
        <w:tc>
          <w:tcPr>
            <w:tcW w:w="709" w:type="dxa"/>
          </w:tcPr>
          <w:p w14:paraId="3FA86066" w14:textId="3D70DFE5" w:rsidR="00B95E5F" w:rsidRPr="004E4D6A" w:rsidRDefault="00B95E5F" w:rsidP="00B95E5F">
            <w:pPr>
              <w:ind w:right="-143"/>
              <w:jc w:val="center"/>
              <w:rPr>
                <w:rFonts w:ascii="Arial" w:hAnsi="Arial" w:cs="Arial"/>
                <w:b/>
                <w:sz w:val="20"/>
                <w:szCs w:val="20"/>
                <w:lang w:eastAsia="en-US"/>
              </w:rPr>
            </w:pPr>
            <w:r w:rsidRPr="004E4D6A">
              <w:rPr>
                <w:rFonts w:ascii="Arial" w:hAnsi="Arial" w:cs="Arial"/>
                <w:b/>
                <w:sz w:val="20"/>
                <w:szCs w:val="20"/>
                <w:lang w:eastAsia="en-US"/>
              </w:rPr>
              <w:t>1.</w:t>
            </w:r>
          </w:p>
        </w:tc>
        <w:tc>
          <w:tcPr>
            <w:tcW w:w="1559" w:type="dxa"/>
          </w:tcPr>
          <w:p w14:paraId="12CC4A82" w14:textId="0B9A75DD"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Jautājums</w:t>
            </w:r>
          </w:p>
        </w:tc>
        <w:tc>
          <w:tcPr>
            <w:tcW w:w="6771" w:type="dxa"/>
          </w:tcPr>
          <w:p w14:paraId="158D0828"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Nolikums 2.3. Visām piegādājamām Precēm jābūt reģistrētām un/vai sertificētām atbilstoši Latvijas Republikā spēkā esošajos normatīvajos aktos noteiktajam un jāatbilst Latvijas Republikā spēkā esošajiem standartiem.</w:t>
            </w:r>
          </w:p>
          <w:p w14:paraId="5E7EAA91"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p>
          <w:p w14:paraId="0D51B1C7" w14:textId="51214177" w:rsidR="00B95E5F" w:rsidRDefault="00B95E5F" w:rsidP="004E4D6A">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Lūdzam precizēt standartus, atbilstoši kuriem piegādātajām precēm ir jābūt reģistrētām un/vai sertificētām?</w:t>
            </w:r>
          </w:p>
          <w:p w14:paraId="42531E6A" w14:textId="2820CC7D" w:rsidR="004E4D6A" w:rsidRPr="004E4D6A" w:rsidRDefault="004E4D6A" w:rsidP="004E4D6A">
            <w:pPr>
              <w:autoSpaceDE w:val="0"/>
              <w:autoSpaceDN w:val="0"/>
              <w:adjustRightInd w:val="0"/>
              <w:jc w:val="both"/>
              <w:rPr>
                <w:rFonts w:ascii="Arial" w:eastAsia="Calibri" w:hAnsi="Arial" w:cs="Arial"/>
                <w:sz w:val="20"/>
                <w:szCs w:val="20"/>
                <w:lang w:eastAsia="en-US"/>
              </w:rPr>
            </w:pPr>
          </w:p>
        </w:tc>
      </w:tr>
      <w:tr w:rsidR="00B95E5F" w:rsidRPr="004E4D6A" w14:paraId="1637BB12" w14:textId="77777777" w:rsidTr="00827833">
        <w:trPr>
          <w:trHeight w:val="773"/>
        </w:trPr>
        <w:tc>
          <w:tcPr>
            <w:tcW w:w="709" w:type="dxa"/>
          </w:tcPr>
          <w:p w14:paraId="0AA3C715" w14:textId="77777777" w:rsidR="00B95E5F" w:rsidRPr="004E4D6A" w:rsidRDefault="00B95E5F" w:rsidP="00B95E5F">
            <w:pPr>
              <w:ind w:right="-143"/>
              <w:jc w:val="center"/>
              <w:rPr>
                <w:rFonts w:ascii="Arial" w:hAnsi="Arial" w:cs="Arial"/>
                <w:b/>
                <w:sz w:val="20"/>
                <w:szCs w:val="20"/>
                <w:lang w:eastAsia="en-US"/>
              </w:rPr>
            </w:pPr>
          </w:p>
        </w:tc>
        <w:tc>
          <w:tcPr>
            <w:tcW w:w="1559" w:type="dxa"/>
          </w:tcPr>
          <w:p w14:paraId="00EFFA52" w14:textId="3986FCFA"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Skaidrojums</w:t>
            </w:r>
          </w:p>
        </w:tc>
        <w:tc>
          <w:tcPr>
            <w:tcW w:w="6771" w:type="dxa"/>
          </w:tcPr>
          <w:p w14:paraId="4991D05B" w14:textId="2D3FE722" w:rsidR="00827833" w:rsidRPr="004E4D6A" w:rsidRDefault="00827833" w:rsidP="00827833">
            <w:pPr>
              <w:autoSpaceDE w:val="0"/>
              <w:autoSpaceDN w:val="0"/>
              <w:adjustRightInd w:val="0"/>
              <w:jc w:val="both"/>
              <w:rPr>
                <w:rFonts w:ascii="Arial" w:hAnsi="Arial" w:cs="Arial"/>
                <w:sz w:val="20"/>
                <w:szCs w:val="20"/>
              </w:rPr>
            </w:pPr>
            <w:r w:rsidRPr="004E4D6A">
              <w:rPr>
                <w:rFonts w:ascii="Arial" w:hAnsi="Arial" w:cs="Arial"/>
                <w:sz w:val="20"/>
                <w:szCs w:val="20"/>
              </w:rPr>
              <w:t>Nozari regulējošo</w:t>
            </w:r>
            <w:r w:rsidR="004C52DC" w:rsidRPr="004E4D6A">
              <w:rPr>
                <w:rFonts w:ascii="Arial" w:hAnsi="Arial" w:cs="Arial"/>
                <w:sz w:val="20"/>
                <w:szCs w:val="20"/>
              </w:rPr>
              <w:t xml:space="preserve"> standartu vai normatīvo aktu attiecināmību uz piegādājamo preci, piedāvājuma sagatavošanas gaitā izvērtē pretendents atkarībā no piegādei paredzētās preces.</w:t>
            </w:r>
          </w:p>
          <w:p w14:paraId="1B9636D8" w14:textId="0EBC4D63" w:rsidR="00827833" w:rsidRPr="004E4D6A" w:rsidRDefault="00827833" w:rsidP="00827833">
            <w:pPr>
              <w:autoSpaceDE w:val="0"/>
              <w:autoSpaceDN w:val="0"/>
              <w:adjustRightInd w:val="0"/>
              <w:jc w:val="both"/>
              <w:rPr>
                <w:rFonts w:ascii="Arial" w:hAnsi="Arial" w:cs="Arial"/>
                <w:sz w:val="20"/>
                <w:szCs w:val="20"/>
              </w:rPr>
            </w:pPr>
            <w:r w:rsidRPr="004E4D6A">
              <w:rPr>
                <w:rFonts w:ascii="Arial" w:hAnsi="Arial" w:cs="Arial"/>
                <w:sz w:val="20"/>
                <w:szCs w:val="20"/>
              </w:rPr>
              <w:t>Piegādājamo preču atbilstības Latvijas Republikā spēkā esošajiem normatīvajiem aktiem nodrošināšana ir ražotāja un izplatītāja pienākums, lai nodrošinātu cilvēka dzīvībai, veselībai, kā arī videi nekaitīgu preču ražošanu un laišanu apgrozībā.</w:t>
            </w:r>
          </w:p>
          <w:p w14:paraId="1162CBF9" w14:textId="718C1CF9" w:rsidR="001E58C1" w:rsidRPr="004E4D6A" w:rsidRDefault="001E58C1" w:rsidP="00827833">
            <w:pPr>
              <w:autoSpaceDE w:val="0"/>
              <w:autoSpaceDN w:val="0"/>
              <w:adjustRightInd w:val="0"/>
              <w:jc w:val="both"/>
              <w:rPr>
                <w:rFonts w:ascii="Arial" w:hAnsi="Arial" w:cs="Arial"/>
                <w:sz w:val="20"/>
                <w:szCs w:val="20"/>
              </w:rPr>
            </w:pPr>
          </w:p>
        </w:tc>
      </w:tr>
      <w:tr w:rsidR="00B95E5F" w:rsidRPr="004E4D6A" w14:paraId="0ACD60AF" w14:textId="77777777" w:rsidTr="00827833">
        <w:trPr>
          <w:trHeight w:val="773"/>
        </w:trPr>
        <w:tc>
          <w:tcPr>
            <w:tcW w:w="709" w:type="dxa"/>
          </w:tcPr>
          <w:p w14:paraId="0A45720F" w14:textId="6C54FB3F" w:rsidR="00B95E5F" w:rsidRPr="004E4D6A" w:rsidRDefault="00B95E5F" w:rsidP="00B95E5F">
            <w:pPr>
              <w:ind w:right="-143"/>
              <w:jc w:val="center"/>
              <w:rPr>
                <w:rFonts w:ascii="Arial" w:hAnsi="Arial" w:cs="Arial"/>
                <w:b/>
                <w:sz w:val="20"/>
                <w:szCs w:val="20"/>
                <w:lang w:eastAsia="en-US"/>
              </w:rPr>
            </w:pPr>
            <w:r w:rsidRPr="004E4D6A">
              <w:rPr>
                <w:rFonts w:ascii="Arial" w:hAnsi="Arial" w:cs="Arial"/>
                <w:b/>
                <w:sz w:val="20"/>
                <w:szCs w:val="20"/>
                <w:lang w:eastAsia="en-US"/>
              </w:rPr>
              <w:t>2.</w:t>
            </w:r>
          </w:p>
        </w:tc>
        <w:tc>
          <w:tcPr>
            <w:tcW w:w="1559" w:type="dxa"/>
          </w:tcPr>
          <w:p w14:paraId="052DBAE4" w14:textId="48193650"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Jautājums</w:t>
            </w:r>
          </w:p>
        </w:tc>
        <w:tc>
          <w:tcPr>
            <w:tcW w:w="6771" w:type="dxa"/>
          </w:tcPr>
          <w:p w14:paraId="3562860A"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Nolikums 2.8. Ekvivalenti izstrādājumi:</w:t>
            </w:r>
          </w:p>
          <w:p w14:paraId="6566D7A6" w14:textId="540AD6DD"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Ja tehniskajās specifikācijās ir norādīta konkrēta ražotāja produkcija, pretendents drīkst piedāvāt tās ekvivalentu. Ja pretendents piedāvā ekvivalentu produkciju, tad pretendents piedāvājumam pievieno informāciju par ekvivalenta ražotāju un marku un pievieno piedāvājumam dokumentus,</w:t>
            </w:r>
            <w:r w:rsidR="006373F7">
              <w:rPr>
                <w:rFonts w:ascii="Arial" w:eastAsia="Calibri" w:hAnsi="Arial" w:cs="Arial"/>
                <w:i/>
                <w:iCs/>
                <w:sz w:val="20"/>
                <w:szCs w:val="20"/>
                <w:lang w:eastAsia="en-US"/>
              </w:rPr>
              <w:t xml:space="preserve"> </w:t>
            </w:r>
            <w:r w:rsidRPr="00B95E5F">
              <w:rPr>
                <w:rFonts w:ascii="Arial" w:eastAsia="Calibri" w:hAnsi="Arial" w:cs="Arial"/>
                <w:i/>
                <w:iCs/>
                <w:sz w:val="20"/>
                <w:szCs w:val="20"/>
                <w:lang w:eastAsia="en-US"/>
              </w:rPr>
              <w:t>kas sniedz pietiekamu informāciju par piedāvāto produktu. Informācijā obligāti ir jānorāda, kurām tehniskās specifikācijas pozīcijām tiek piedāvāts katrs ekvivalents. Pretendents savā piedāvājumā ar ražotāja dokumentāciju vai kompetentas institūcijas izsniegtu apliecinājumu par pārbaudes</w:t>
            </w:r>
            <w:r w:rsidR="006373F7">
              <w:rPr>
                <w:rFonts w:ascii="Arial" w:eastAsia="Calibri" w:hAnsi="Arial" w:cs="Arial"/>
                <w:i/>
                <w:iCs/>
                <w:sz w:val="20"/>
                <w:szCs w:val="20"/>
                <w:lang w:eastAsia="en-US"/>
              </w:rPr>
              <w:t xml:space="preserve"> </w:t>
            </w:r>
            <w:r w:rsidRPr="00B95E5F">
              <w:rPr>
                <w:rFonts w:ascii="Arial" w:eastAsia="Calibri" w:hAnsi="Arial" w:cs="Arial"/>
                <w:i/>
                <w:iCs/>
                <w:sz w:val="20"/>
                <w:szCs w:val="20"/>
                <w:lang w:eastAsia="en-US"/>
              </w:rPr>
              <w:t>rezultātiem pierāda, ka piedāvājums ir ekvivalents un apmierina pasūtītāja prasības, kas izteiktas tehniskajās specifikācijās.</w:t>
            </w:r>
          </w:p>
          <w:p w14:paraId="356BE627"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p>
          <w:p w14:paraId="6BE61D1A" w14:textId="42E63919"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1.Šis nolikuma punkts ir pretrunā ar Iepirkuma preč specifiku, jo pieprasot, piemēram Tāmes pozīcijā minēto Nr. p.k. 2.10. Signālgalvas ZIR (vai ekvivalents) aizsargjumtiņš (300 mm) Pasūtītājs apzinās, ka konkrēta ražotāja luksoforam nevar tikt izmantotas cita ražotāja luksoforu komponentes, jo katram ražotājam pat ņemot vērā visu standartu ievērošanu, tomēr ir sava</w:t>
            </w:r>
            <w:r w:rsidR="00F5411D">
              <w:rPr>
                <w:rFonts w:ascii="Arial" w:eastAsia="Calibri" w:hAnsi="Arial" w:cs="Arial"/>
                <w:sz w:val="20"/>
                <w:szCs w:val="20"/>
                <w:lang w:eastAsia="en-US"/>
              </w:rPr>
              <w:t xml:space="preserve"> </w:t>
            </w:r>
            <w:r w:rsidRPr="00B95E5F">
              <w:rPr>
                <w:rFonts w:ascii="Arial" w:eastAsia="Calibri" w:hAnsi="Arial" w:cs="Arial"/>
                <w:sz w:val="20"/>
                <w:szCs w:val="20"/>
                <w:lang w:eastAsia="en-US"/>
              </w:rPr>
              <w:t>specifika un neviena cita ražotāja komponentes konkrētās prasības izpildei nederēs. Šis ir attiecināms uz visām Tāmes pozīcijā norādītajām izstrādājumu komponentēm, tādēļ šī Iepirkuma priekšmeta būtība ir uzskatāma par konkurences ierobežošanu no Pasūtītāja puses, kas ir pretrunā ar Eiropas parlamenta un padomes direktīvu 2014/24/ES.</w:t>
            </w:r>
          </w:p>
          <w:p w14:paraId="75F76B59"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p>
          <w:p w14:paraId="2FDE2DBE"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 xml:space="preserve">2.Vēlamies arī vērst vērību, ka visu tāmē norādīto luksoforu un kontrolieru komponenšu konkrēto ražotāju precēm Latvijā ir viens Piegādātājs jeb </w:t>
            </w:r>
            <w:r w:rsidRPr="00B95E5F">
              <w:rPr>
                <w:rFonts w:ascii="Arial" w:eastAsia="Calibri" w:hAnsi="Arial" w:cs="Arial"/>
                <w:sz w:val="20"/>
                <w:szCs w:val="20"/>
                <w:lang w:eastAsia="en-US"/>
              </w:rPr>
              <w:lastRenderedPageBreak/>
              <w:t>attiecīgi Pretendents šim Iepirkumam, kas neatbilst brīvas un godīgas konkurences kritērijiem.</w:t>
            </w:r>
          </w:p>
          <w:p w14:paraId="46677A58" w14:textId="77777777" w:rsidR="00B95E5F" w:rsidRPr="004E4D6A" w:rsidRDefault="00B95E5F" w:rsidP="00827833">
            <w:pPr>
              <w:shd w:val="clear" w:color="auto" w:fill="FFFFFF"/>
              <w:spacing w:after="120"/>
              <w:jc w:val="both"/>
              <w:rPr>
                <w:rFonts w:ascii="Arial" w:hAnsi="Arial" w:cs="Arial"/>
                <w:sz w:val="20"/>
                <w:szCs w:val="20"/>
              </w:rPr>
            </w:pPr>
          </w:p>
        </w:tc>
      </w:tr>
      <w:tr w:rsidR="00B95E5F" w:rsidRPr="004E4D6A" w14:paraId="31E71BD3" w14:textId="77777777" w:rsidTr="00827833">
        <w:trPr>
          <w:trHeight w:val="773"/>
        </w:trPr>
        <w:tc>
          <w:tcPr>
            <w:tcW w:w="709" w:type="dxa"/>
          </w:tcPr>
          <w:p w14:paraId="0A912967" w14:textId="77777777" w:rsidR="00B95E5F" w:rsidRPr="004E4D6A" w:rsidRDefault="00B95E5F" w:rsidP="00B95E5F">
            <w:pPr>
              <w:ind w:right="-143"/>
              <w:jc w:val="center"/>
              <w:rPr>
                <w:rFonts w:ascii="Arial" w:hAnsi="Arial" w:cs="Arial"/>
                <w:b/>
                <w:sz w:val="20"/>
                <w:szCs w:val="20"/>
                <w:lang w:eastAsia="en-US"/>
              </w:rPr>
            </w:pPr>
          </w:p>
        </w:tc>
        <w:tc>
          <w:tcPr>
            <w:tcW w:w="1559" w:type="dxa"/>
          </w:tcPr>
          <w:p w14:paraId="0402BD78" w14:textId="25355882"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Skaidrojums</w:t>
            </w:r>
          </w:p>
        </w:tc>
        <w:tc>
          <w:tcPr>
            <w:tcW w:w="6771" w:type="dxa"/>
          </w:tcPr>
          <w:p w14:paraId="111B98C1" w14:textId="6AACCA99" w:rsidR="004C52DC" w:rsidRPr="004E4D6A" w:rsidRDefault="004E4D6A" w:rsidP="00827833">
            <w:pPr>
              <w:shd w:val="clear" w:color="auto" w:fill="FFFFFF"/>
              <w:spacing w:after="120"/>
              <w:jc w:val="both"/>
              <w:rPr>
                <w:rFonts w:ascii="Arial" w:hAnsi="Arial" w:cs="Arial"/>
                <w:sz w:val="20"/>
                <w:szCs w:val="20"/>
              </w:rPr>
            </w:pPr>
            <w:r w:rsidRPr="004E4D6A">
              <w:rPr>
                <w:rFonts w:ascii="Arial" w:hAnsi="Arial" w:cs="Arial"/>
                <w:sz w:val="20"/>
                <w:szCs w:val="20"/>
              </w:rPr>
              <w:t xml:space="preserve">1. </w:t>
            </w:r>
            <w:r w:rsidR="00224100" w:rsidRPr="004E4D6A">
              <w:rPr>
                <w:rFonts w:ascii="Arial" w:hAnsi="Arial" w:cs="Arial"/>
                <w:sz w:val="20"/>
                <w:szCs w:val="20"/>
              </w:rPr>
              <w:t>I</w:t>
            </w:r>
            <w:r w:rsidR="004C52DC" w:rsidRPr="004E4D6A">
              <w:rPr>
                <w:rFonts w:ascii="Arial" w:hAnsi="Arial" w:cs="Arial"/>
                <w:sz w:val="20"/>
                <w:szCs w:val="20"/>
              </w:rPr>
              <w:t>epirkuma rezultātā slēdzamais līgums paredzēts preču piegādei esošas un funkcionējošas luksoforu sistēmas (sastāvošas no 74 (septiņdesmit četriem) luksoforu objektiem visā pilsētā) ikdienas uzturēšanai t.sk. bojājumu rezultātā bojāto detaļu nomaiņai. Bojāto detaļu aizstāšana ar tāda paša ražotāja vai ekvivalentu sistēmas komponenti ir būtiski nepieciešama, lai operatīvi paveiktu bojāto detaļu aizstāšanu, vienlaikus neradot riskus sistēmas stabilai</w:t>
            </w:r>
            <w:r w:rsidR="00224100" w:rsidRPr="004E4D6A">
              <w:rPr>
                <w:rFonts w:ascii="Arial" w:hAnsi="Arial" w:cs="Arial"/>
                <w:sz w:val="20"/>
                <w:szCs w:val="20"/>
              </w:rPr>
              <w:t xml:space="preserve"> darbībai un satiksmes drošībai.</w:t>
            </w:r>
          </w:p>
          <w:p w14:paraId="09819DBB" w14:textId="482F0791" w:rsidR="004C52DC" w:rsidRPr="004E4D6A" w:rsidRDefault="004E4D6A" w:rsidP="00827833">
            <w:pPr>
              <w:shd w:val="clear" w:color="auto" w:fill="FFFFFF"/>
              <w:spacing w:after="120"/>
              <w:jc w:val="both"/>
              <w:rPr>
                <w:rFonts w:ascii="Arial" w:hAnsi="Arial" w:cs="Arial"/>
                <w:sz w:val="20"/>
                <w:szCs w:val="20"/>
              </w:rPr>
            </w:pPr>
            <w:r w:rsidRPr="004E4D6A">
              <w:rPr>
                <w:rFonts w:ascii="Arial" w:hAnsi="Arial" w:cs="Arial"/>
                <w:sz w:val="20"/>
                <w:szCs w:val="20"/>
              </w:rPr>
              <w:t>2.</w:t>
            </w:r>
            <w:r w:rsidR="004C52DC" w:rsidRPr="004E4D6A">
              <w:rPr>
                <w:rFonts w:ascii="Arial" w:hAnsi="Arial" w:cs="Arial"/>
                <w:sz w:val="20"/>
                <w:szCs w:val="20"/>
              </w:rPr>
              <w:t xml:space="preserve">Pasūtītāja rīcībā nav informācijas, ka kādam </w:t>
            </w:r>
            <w:r w:rsidR="00224100" w:rsidRPr="004E4D6A">
              <w:rPr>
                <w:rFonts w:ascii="Arial" w:hAnsi="Arial" w:cs="Arial"/>
                <w:sz w:val="20"/>
                <w:szCs w:val="20"/>
              </w:rPr>
              <w:t>komersantam, visu vai atsevišķu</w:t>
            </w:r>
            <w:r w:rsidR="004C52DC" w:rsidRPr="004E4D6A">
              <w:rPr>
                <w:rFonts w:ascii="Arial" w:hAnsi="Arial" w:cs="Arial"/>
                <w:sz w:val="20"/>
                <w:szCs w:val="20"/>
              </w:rPr>
              <w:t xml:space="preserve"> tāmē norādīto ražotāju produktiem no ražotāju puses </w:t>
            </w:r>
            <w:r w:rsidR="00F5411D" w:rsidRPr="004E4D6A">
              <w:rPr>
                <w:rFonts w:ascii="Arial" w:hAnsi="Arial" w:cs="Arial"/>
                <w:sz w:val="20"/>
                <w:szCs w:val="20"/>
              </w:rPr>
              <w:t xml:space="preserve">būtu </w:t>
            </w:r>
            <w:r w:rsidR="004C52DC" w:rsidRPr="004E4D6A">
              <w:rPr>
                <w:rFonts w:ascii="Arial" w:hAnsi="Arial" w:cs="Arial"/>
                <w:sz w:val="20"/>
                <w:szCs w:val="20"/>
              </w:rPr>
              <w:t xml:space="preserve">piešķirtas ekskluzīvas tiesības to produktu izplatīšanai un pārdošanai Latvijas tirgū. </w:t>
            </w:r>
            <w:r w:rsidR="00224100" w:rsidRPr="004E4D6A">
              <w:rPr>
                <w:rFonts w:ascii="Arial" w:hAnsi="Arial" w:cs="Arial"/>
                <w:sz w:val="20"/>
                <w:szCs w:val="20"/>
              </w:rPr>
              <w:t>N</w:t>
            </w:r>
            <w:r w:rsidR="004C52DC" w:rsidRPr="004E4D6A">
              <w:rPr>
                <w:rFonts w:ascii="Arial" w:hAnsi="Arial" w:cs="Arial"/>
                <w:sz w:val="20"/>
                <w:szCs w:val="20"/>
              </w:rPr>
              <w:t>olikumā izvirzītās prasības n</w:t>
            </w:r>
            <w:r w:rsidR="00224100" w:rsidRPr="004E4D6A">
              <w:rPr>
                <w:rFonts w:ascii="Arial" w:hAnsi="Arial" w:cs="Arial"/>
                <w:sz w:val="20"/>
                <w:szCs w:val="20"/>
              </w:rPr>
              <w:t>eierobežo iespējamo pretendentu</w:t>
            </w:r>
            <w:r w:rsidR="004C52DC" w:rsidRPr="004E4D6A">
              <w:rPr>
                <w:rFonts w:ascii="Arial" w:hAnsi="Arial" w:cs="Arial"/>
                <w:sz w:val="20"/>
                <w:szCs w:val="20"/>
              </w:rPr>
              <w:t xml:space="preserve"> iegādāties un piegādāt preci arī no citām valstīm.</w:t>
            </w:r>
          </w:p>
          <w:p w14:paraId="782B584B" w14:textId="345F73FE" w:rsidR="00B95E5F" w:rsidRPr="004E4D6A" w:rsidRDefault="006373F7" w:rsidP="00827833">
            <w:pPr>
              <w:shd w:val="clear" w:color="auto" w:fill="FFFFFF"/>
              <w:spacing w:after="120"/>
              <w:jc w:val="both"/>
              <w:rPr>
                <w:rFonts w:ascii="Arial" w:hAnsi="Arial" w:cs="Arial"/>
                <w:sz w:val="20"/>
                <w:szCs w:val="20"/>
              </w:rPr>
            </w:pPr>
            <w:r>
              <w:rPr>
                <w:rFonts w:ascii="Arial" w:hAnsi="Arial" w:cs="Arial"/>
                <w:sz w:val="20"/>
                <w:szCs w:val="20"/>
              </w:rPr>
              <w:t>Vēršam uzmanību, ka atbilstoši nolikuma 2.8. punkta nosacījumam, pretendents drīkst piedāvāt ekvivalentu produkciju.</w:t>
            </w:r>
          </w:p>
        </w:tc>
      </w:tr>
      <w:tr w:rsidR="00B95E5F" w:rsidRPr="004E4D6A" w14:paraId="30D659D6" w14:textId="77777777" w:rsidTr="00827833">
        <w:trPr>
          <w:trHeight w:val="773"/>
        </w:trPr>
        <w:tc>
          <w:tcPr>
            <w:tcW w:w="709" w:type="dxa"/>
          </w:tcPr>
          <w:p w14:paraId="3191B844" w14:textId="6E3F414D" w:rsidR="00B95E5F" w:rsidRPr="004E4D6A" w:rsidRDefault="00B95E5F" w:rsidP="00B95E5F">
            <w:pPr>
              <w:ind w:right="-143"/>
              <w:jc w:val="center"/>
              <w:rPr>
                <w:rFonts w:ascii="Arial" w:hAnsi="Arial" w:cs="Arial"/>
                <w:b/>
                <w:sz w:val="20"/>
                <w:szCs w:val="20"/>
                <w:lang w:eastAsia="en-US"/>
              </w:rPr>
            </w:pPr>
            <w:r w:rsidRPr="004E4D6A">
              <w:rPr>
                <w:rFonts w:ascii="Arial" w:hAnsi="Arial" w:cs="Arial"/>
                <w:b/>
                <w:sz w:val="20"/>
                <w:szCs w:val="20"/>
                <w:lang w:eastAsia="en-US"/>
              </w:rPr>
              <w:t>3.</w:t>
            </w:r>
          </w:p>
        </w:tc>
        <w:tc>
          <w:tcPr>
            <w:tcW w:w="1559" w:type="dxa"/>
          </w:tcPr>
          <w:p w14:paraId="698F6363" w14:textId="7DEE1467"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Jautājums</w:t>
            </w:r>
          </w:p>
        </w:tc>
        <w:tc>
          <w:tcPr>
            <w:tcW w:w="6771" w:type="dxa"/>
          </w:tcPr>
          <w:p w14:paraId="4E82D37B"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Nolikums III SADAĻA, PRASĪBAS PRETENDENTIEM UN IESNIEDZAMIE DOKUMENTI</w:t>
            </w:r>
          </w:p>
          <w:p w14:paraId="0BF7EC9B"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3.9. Pretendents iepriekšējo 3 (trīs) gadu laikā (2016., 2017., 2018. un 2019.gads līdz piedāvājumu iesniegšanas termiņa beigām) ir izpildījis vismaz 1 (vienu) luksoforu komponenšu piegādes līgumu par vismaz 40 000,00 EUR (četrdesmit tūkstošiem euro), neskaitot PVN.</w:t>
            </w:r>
          </w:p>
          <w:p w14:paraId="413C9E65"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Pieredzi apliecina attiecīgā līguma pasūtītāja atsauksme par līguma izpildi.</w:t>
            </w:r>
          </w:p>
          <w:p w14:paraId="4D956959"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p>
          <w:p w14:paraId="77F7614E"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1.Kāds pamatojums ir tieši luksoforu komponenšu piegādes pieredzes un par vismaz 40’000,00 EUR (četrdesmit tūkstošiem euro) prasībai?</w:t>
            </w:r>
          </w:p>
          <w:p w14:paraId="685CF5B4"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p>
          <w:p w14:paraId="514AEAB5"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2.Vai satiksmes organizācijas preč piegādes un izbūves pieredze netiks pieņemta kā atbilstoša?</w:t>
            </w:r>
          </w:p>
          <w:p w14:paraId="3CE4CE97" w14:textId="77777777" w:rsidR="00B95E5F" w:rsidRPr="004E4D6A" w:rsidRDefault="00B95E5F" w:rsidP="00827833">
            <w:pPr>
              <w:shd w:val="clear" w:color="auto" w:fill="FFFFFF"/>
              <w:spacing w:after="120"/>
              <w:jc w:val="both"/>
              <w:rPr>
                <w:rFonts w:ascii="Arial" w:hAnsi="Arial" w:cs="Arial"/>
                <w:sz w:val="20"/>
                <w:szCs w:val="20"/>
              </w:rPr>
            </w:pPr>
          </w:p>
        </w:tc>
      </w:tr>
      <w:tr w:rsidR="00B95E5F" w:rsidRPr="004E4D6A" w14:paraId="267C17D1" w14:textId="77777777" w:rsidTr="00827833">
        <w:trPr>
          <w:trHeight w:val="773"/>
        </w:trPr>
        <w:tc>
          <w:tcPr>
            <w:tcW w:w="709" w:type="dxa"/>
          </w:tcPr>
          <w:p w14:paraId="26887CCF" w14:textId="77777777" w:rsidR="00B95E5F" w:rsidRPr="004E4D6A" w:rsidRDefault="00B95E5F" w:rsidP="00B95E5F">
            <w:pPr>
              <w:ind w:right="-143"/>
              <w:jc w:val="center"/>
              <w:rPr>
                <w:rFonts w:ascii="Arial" w:hAnsi="Arial" w:cs="Arial"/>
                <w:b/>
                <w:sz w:val="20"/>
                <w:szCs w:val="20"/>
                <w:lang w:eastAsia="en-US"/>
              </w:rPr>
            </w:pPr>
          </w:p>
        </w:tc>
        <w:tc>
          <w:tcPr>
            <w:tcW w:w="1559" w:type="dxa"/>
          </w:tcPr>
          <w:p w14:paraId="2A413E8F" w14:textId="3E56E47E"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Skaidrojums</w:t>
            </w:r>
          </w:p>
        </w:tc>
        <w:tc>
          <w:tcPr>
            <w:tcW w:w="6771" w:type="dxa"/>
          </w:tcPr>
          <w:p w14:paraId="7F3F7495" w14:textId="3D5775F3" w:rsidR="004C52DC" w:rsidRPr="004E4D6A" w:rsidRDefault="005C7A39" w:rsidP="00827833">
            <w:pPr>
              <w:shd w:val="clear" w:color="auto" w:fill="FFFFFF"/>
              <w:spacing w:after="120"/>
              <w:jc w:val="both"/>
              <w:rPr>
                <w:rFonts w:ascii="Arial" w:hAnsi="Arial" w:cs="Arial"/>
                <w:sz w:val="20"/>
                <w:szCs w:val="20"/>
              </w:rPr>
            </w:pPr>
            <w:r w:rsidRPr="004E4D6A">
              <w:rPr>
                <w:rFonts w:ascii="Arial" w:hAnsi="Arial" w:cs="Arial"/>
                <w:sz w:val="20"/>
                <w:szCs w:val="20"/>
              </w:rPr>
              <w:t xml:space="preserve">1.Nolikuma 3.9. punktā norādītā līdzvērtīgās pieredzes summa </w:t>
            </w:r>
            <w:r w:rsidR="004C52DC" w:rsidRPr="004E4D6A">
              <w:rPr>
                <w:rFonts w:ascii="Arial" w:hAnsi="Arial" w:cs="Arial"/>
                <w:sz w:val="20"/>
                <w:szCs w:val="20"/>
              </w:rPr>
              <w:t>vismaz 40 000,00 EUR (četrdesmit tūkstošiem euro), neskaitot PVN</w:t>
            </w:r>
            <w:r w:rsidRPr="004E4D6A">
              <w:rPr>
                <w:rFonts w:ascii="Arial" w:hAnsi="Arial" w:cs="Arial"/>
                <w:sz w:val="20"/>
                <w:szCs w:val="20"/>
              </w:rPr>
              <w:t>,</w:t>
            </w:r>
            <w:r w:rsidR="004C52DC" w:rsidRPr="004E4D6A">
              <w:rPr>
                <w:rFonts w:ascii="Arial" w:hAnsi="Arial" w:cs="Arial"/>
                <w:sz w:val="20"/>
                <w:szCs w:val="20"/>
              </w:rPr>
              <w:t xml:space="preserve"> </w:t>
            </w:r>
            <w:r w:rsidRPr="004E4D6A">
              <w:rPr>
                <w:rFonts w:ascii="Arial" w:hAnsi="Arial" w:cs="Arial"/>
                <w:sz w:val="20"/>
                <w:szCs w:val="20"/>
              </w:rPr>
              <w:t>nepārsniedz</w:t>
            </w:r>
            <w:r w:rsidR="004C52DC" w:rsidRPr="004E4D6A">
              <w:rPr>
                <w:rFonts w:ascii="Arial" w:hAnsi="Arial" w:cs="Arial"/>
                <w:sz w:val="20"/>
                <w:szCs w:val="20"/>
              </w:rPr>
              <w:t xml:space="preserve"> </w:t>
            </w:r>
            <w:r w:rsidRPr="004E4D6A">
              <w:rPr>
                <w:rFonts w:ascii="Arial" w:hAnsi="Arial" w:cs="Arial"/>
                <w:sz w:val="20"/>
                <w:szCs w:val="20"/>
              </w:rPr>
              <w:t xml:space="preserve">pasūtītāja plānoto </w:t>
            </w:r>
            <w:r w:rsidR="004C52DC" w:rsidRPr="004E4D6A">
              <w:rPr>
                <w:rFonts w:ascii="Arial" w:hAnsi="Arial" w:cs="Arial"/>
                <w:sz w:val="20"/>
                <w:szCs w:val="20"/>
              </w:rPr>
              <w:t>paredzam</w:t>
            </w:r>
            <w:r w:rsidRPr="004E4D6A">
              <w:rPr>
                <w:rFonts w:ascii="Arial" w:hAnsi="Arial" w:cs="Arial"/>
                <w:sz w:val="20"/>
                <w:szCs w:val="20"/>
              </w:rPr>
              <w:t>o</w:t>
            </w:r>
            <w:r w:rsidR="004C52DC" w:rsidRPr="004E4D6A">
              <w:rPr>
                <w:rFonts w:ascii="Arial" w:hAnsi="Arial" w:cs="Arial"/>
                <w:sz w:val="20"/>
                <w:szCs w:val="20"/>
              </w:rPr>
              <w:t xml:space="preserve"> līguma summ</w:t>
            </w:r>
            <w:r w:rsidRPr="004E4D6A">
              <w:rPr>
                <w:rFonts w:ascii="Arial" w:hAnsi="Arial" w:cs="Arial"/>
                <w:sz w:val="20"/>
                <w:szCs w:val="20"/>
              </w:rPr>
              <w:t>u</w:t>
            </w:r>
            <w:r w:rsidR="004C52DC" w:rsidRPr="004E4D6A">
              <w:rPr>
                <w:rFonts w:ascii="Arial" w:hAnsi="Arial" w:cs="Arial"/>
                <w:sz w:val="20"/>
                <w:szCs w:val="20"/>
              </w:rPr>
              <w:t>, ka</w:t>
            </w:r>
            <w:r w:rsidRPr="004E4D6A">
              <w:rPr>
                <w:rFonts w:ascii="Arial" w:hAnsi="Arial" w:cs="Arial"/>
                <w:sz w:val="20"/>
                <w:szCs w:val="20"/>
              </w:rPr>
              <w:t>s noteikta sastādot kontroltāmi. Noteiktā prasība  izvirzīta, lai pasūtītājs pārliecinātos par pretendenta iespējām līdzvērtīga apjoma luksofora komponenšu piegāžu izpildē.</w:t>
            </w:r>
          </w:p>
          <w:p w14:paraId="406862D4" w14:textId="42C4CB1A" w:rsidR="004C52DC" w:rsidRPr="004E4D6A" w:rsidRDefault="004C52DC" w:rsidP="00827833">
            <w:pPr>
              <w:shd w:val="clear" w:color="auto" w:fill="FFFFFF"/>
              <w:spacing w:after="120"/>
              <w:jc w:val="both"/>
              <w:rPr>
                <w:rFonts w:ascii="Arial" w:hAnsi="Arial" w:cs="Arial"/>
                <w:sz w:val="20"/>
                <w:szCs w:val="20"/>
              </w:rPr>
            </w:pPr>
            <w:r w:rsidRPr="004E4D6A">
              <w:rPr>
                <w:rFonts w:ascii="Arial" w:hAnsi="Arial" w:cs="Arial"/>
                <w:sz w:val="20"/>
                <w:szCs w:val="20"/>
              </w:rPr>
              <w:t>Pieredze luksoforu komponenšu piegādē izvēlēta</w:t>
            </w:r>
            <w:r w:rsidR="005C7A39" w:rsidRPr="004E4D6A">
              <w:rPr>
                <w:rFonts w:ascii="Arial" w:hAnsi="Arial" w:cs="Arial"/>
                <w:sz w:val="20"/>
                <w:szCs w:val="20"/>
              </w:rPr>
              <w:t xml:space="preserve"> atbilstoši iepirkuma priekšmetam</w:t>
            </w:r>
            <w:r w:rsidRPr="004E4D6A">
              <w:rPr>
                <w:rFonts w:ascii="Arial" w:hAnsi="Arial" w:cs="Arial"/>
                <w:sz w:val="20"/>
                <w:szCs w:val="20"/>
              </w:rPr>
              <w:t>, kā arī piegādājamās preču grupas specifikas dēļ, kas nav tieši salīdzināma ar citām satiksmes organizācijas precēm (ceļazīmes, barjeras, marķējumi u.c.).</w:t>
            </w:r>
          </w:p>
          <w:p w14:paraId="2DBB1338" w14:textId="15B57957" w:rsidR="004C52DC" w:rsidRPr="004E4D6A" w:rsidRDefault="004C52DC" w:rsidP="00827833">
            <w:pPr>
              <w:shd w:val="clear" w:color="auto" w:fill="FFFFFF"/>
              <w:spacing w:after="120"/>
              <w:jc w:val="both"/>
              <w:rPr>
                <w:rFonts w:ascii="Arial" w:hAnsi="Arial" w:cs="Arial"/>
                <w:sz w:val="20"/>
                <w:szCs w:val="20"/>
              </w:rPr>
            </w:pPr>
            <w:r w:rsidRPr="004E4D6A">
              <w:rPr>
                <w:rFonts w:ascii="Arial" w:hAnsi="Arial" w:cs="Arial"/>
                <w:sz w:val="20"/>
                <w:szCs w:val="20"/>
              </w:rPr>
              <w:t xml:space="preserve"> </w:t>
            </w:r>
            <w:r w:rsidR="005C7A39" w:rsidRPr="004E4D6A">
              <w:rPr>
                <w:rFonts w:ascii="Arial" w:hAnsi="Arial" w:cs="Arial"/>
                <w:sz w:val="20"/>
                <w:szCs w:val="20"/>
              </w:rPr>
              <w:t xml:space="preserve">2. </w:t>
            </w:r>
            <w:r w:rsidRPr="004E4D6A">
              <w:rPr>
                <w:rFonts w:ascii="Arial" w:hAnsi="Arial" w:cs="Arial"/>
                <w:sz w:val="20"/>
                <w:szCs w:val="20"/>
              </w:rPr>
              <w:t xml:space="preserve">Satiksmes organizācijas preču piegādes un izbūves pieredze </w:t>
            </w:r>
            <w:r w:rsidR="003E262A" w:rsidRPr="004E4D6A">
              <w:rPr>
                <w:rFonts w:ascii="Arial" w:hAnsi="Arial" w:cs="Arial"/>
                <w:sz w:val="20"/>
                <w:szCs w:val="20"/>
              </w:rPr>
              <w:t>nav uzskatāma</w:t>
            </w:r>
            <w:r w:rsidRPr="004E4D6A">
              <w:rPr>
                <w:rFonts w:ascii="Arial" w:hAnsi="Arial" w:cs="Arial"/>
                <w:sz w:val="20"/>
                <w:szCs w:val="20"/>
              </w:rPr>
              <w:t xml:space="preserve"> kā atbilstoša</w:t>
            </w:r>
            <w:r w:rsidR="003E262A" w:rsidRPr="004E4D6A">
              <w:rPr>
                <w:rFonts w:ascii="Arial" w:hAnsi="Arial" w:cs="Arial"/>
                <w:sz w:val="20"/>
                <w:szCs w:val="20"/>
              </w:rPr>
              <w:t xml:space="preserve">, tā kā nolikuma 3.9. punktā noteiktā prasība paredz </w:t>
            </w:r>
            <w:r w:rsidR="003E262A" w:rsidRPr="00F5411D">
              <w:rPr>
                <w:rFonts w:ascii="Arial" w:hAnsi="Arial" w:cs="Arial"/>
                <w:b/>
                <w:bCs/>
                <w:sz w:val="20"/>
                <w:szCs w:val="20"/>
                <w:u w:val="single"/>
              </w:rPr>
              <w:t>luksoforu komponenšu piegādes</w:t>
            </w:r>
            <w:r w:rsidR="003E262A" w:rsidRPr="004E4D6A">
              <w:rPr>
                <w:rFonts w:ascii="Arial" w:hAnsi="Arial" w:cs="Arial"/>
                <w:sz w:val="20"/>
                <w:szCs w:val="20"/>
              </w:rPr>
              <w:t xml:space="preserve"> līguma par vismaz 40 000,00 EUR (četrdesmit tūkstošiem euro), neskaitot PVN izpildi.</w:t>
            </w:r>
          </w:p>
          <w:p w14:paraId="2409C94B" w14:textId="4ACE5EE2" w:rsidR="00B95E5F" w:rsidRPr="004E4D6A" w:rsidRDefault="004C52DC" w:rsidP="003E262A">
            <w:pPr>
              <w:shd w:val="clear" w:color="auto" w:fill="FFFFFF"/>
              <w:spacing w:after="120"/>
              <w:jc w:val="both"/>
              <w:rPr>
                <w:rFonts w:ascii="Arial" w:hAnsi="Arial" w:cs="Arial"/>
                <w:sz w:val="20"/>
                <w:szCs w:val="20"/>
              </w:rPr>
            </w:pPr>
            <w:r w:rsidRPr="004E4D6A">
              <w:rPr>
                <w:rFonts w:ascii="Arial" w:hAnsi="Arial" w:cs="Arial"/>
                <w:sz w:val="20"/>
                <w:szCs w:val="20"/>
              </w:rPr>
              <w:t xml:space="preserve">Būvdarbu pieredze </w:t>
            </w:r>
            <w:r w:rsidR="005C7A39" w:rsidRPr="004E4D6A">
              <w:rPr>
                <w:rFonts w:ascii="Arial" w:hAnsi="Arial" w:cs="Arial"/>
                <w:sz w:val="20"/>
                <w:szCs w:val="20"/>
              </w:rPr>
              <w:t>luksoforu komponenšu</w:t>
            </w:r>
            <w:r w:rsidRPr="004E4D6A">
              <w:rPr>
                <w:rFonts w:ascii="Arial" w:hAnsi="Arial" w:cs="Arial"/>
                <w:sz w:val="20"/>
                <w:szCs w:val="20"/>
              </w:rPr>
              <w:t xml:space="preserve"> piegādes līguma prasībām </w:t>
            </w:r>
            <w:r w:rsidR="003E262A" w:rsidRPr="004E4D6A">
              <w:rPr>
                <w:rFonts w:ascii="Arial" w:hAnsi="Arial" w:cs="Arial"/>
                <w:sz w:val="20"/>
                <w:szCs w:val="20"/>
              </w:rPr>
              <w:t>nav uzskatāma par atbilstošu</w:t>
            </w:r>
            <w:r w:rsidR="00F5411D">
              <w:rPr>
                <w:rFonts w:ascii="Arial" w:hAnsi="Arial" w:cs="Arial"/>
                <w:sz w:val="20"/>
                <w:szCs w:val="20"/>
              </w:rPr>
              <w:t>, jo nav šī konkursa iepirkuma priekšmets.</w:t>
            </w:r>
          </w:p>
        </w:tc>
      </w:tr>
      <w:tr w:rsidR="00B95E5F" w:rsidRPr="004E4D6A" w14:paraId="7EAF1C79" w14:textId="77777777" w:rsidTr="004E4D6A">
        <w:trPr>
          <w:trHeight w:val="418"/>
        </w:trPr>
        <w:tc>
          <w:tcPr>
            <w:tcW w:w="709" w:type="dxa"/>
          </w:tcPr>
          <w:p w14:paraId="012D6597" w14:textId="0BB916D8" w:rsidR="00B95E5F" w:rsidRPr="004E4D6A" w:rsidRDefault="00B95E5F" w:rsidP="00B95E5F">
            <w:pPr>
              <w:ind w:right="-143"/>
              <w:jc w:val="center"/>
              <w:rPr>
                <w:rFonts w:ascii="Arial" w:hAnsi="Arial" w:cs="Arial"/>
                <w:b/>
                <w:sz w:val="20"/>
                <w:szCs w:val="20"/>
                <w:lang w:eastAsia="en-US"/>
              </w:rPr>
            </w:pPr>
            <w:r w:rsidRPr="004E4D6A">
              <w:rPr>
                <w:rFonts w:ascii="Arial" w:hAnsi="Arial" w:cs="Arial"/>
                <w:b/>
                <w:sz w:val="20"/>
                <w:szCs w:val="20"/>
                <w:lang w:eastAsia="en-US"/>
              </w:rPr>
              <w:t>4.</w:t>
            </w:r>
          </w:p>
        </w:tc>
        <w:tc>
          <w:tcPr>
            <w:tcW w:w="1559" w:type="dxa"/>
          </w:tcPr>
          <w:p w14:paraId="01AA710A" w14:textId="5D28CC2B"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Jautājums</w:t>
            </w:r>
          </w:p>
        </w:tc>
        <w:tc>
          <w:tcPr>
            <w:tcW w:w="6771" w:type="dxa"/>
          </w:tcPr>
          <w:p w14:paraId="11B6DA12"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Nolikums III SADAĻA, PRASĪBAS PRETENDENTIEM UN IESNIEDZAMIE DOKUMENTI</w:t>
            </w:r>
          </w:p>
          <w:p w14:paraId="2ED8A128"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p>
          <w:p w14:paraId="47AB5359"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3.10. Pretendenta piesaistītajiem apakšuzņēmējiem ir visi nepieciešamie sertifikāti, licences un atļaujas norādīto darba daļu veikšanai.</w:t>
            </w:r>
          </w:p>
          <w:p w14:paraId="12A952AE"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p>
          <w:p w14:paraId="02BF4462" w14:textId="6ECC2D21" w:rsidR="004E4D6A" w:rsidRPr="004E4D6A" w:rsidRDefault="00B95E5F" w:rsidP="004E4D6A">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1.Lūgums precizēt kādi tieši sertifikāti, licences un atļaujas ir nepieciešamas norādīto darba daļu veikšanai, kā arī kurš konkrēti noteiks augstāk minēto dokumentu atbilstību?</w:t>
            </w:r>
          </w:p>
        </w:tc>
      </w:tr>
      <w:tr w:rsidR="00B95E5F" w:rsidRPr="004E4D6A" w14:paraId="3421C94D" w14:textId="77777777" w:rsidTr="00827833">
        <w:trPr>
          <w:trHeight w:val="773"/>
        </w:trPr>
        <w:tc>
          <w:tcPr>
            <w:tcW w:w="709" w:type="dxa"/>
          </w:tcPr>
          <w:p w14:paraId="02068F43" w14:textId="77777777" w:rsidR="00B95E5F" w:rsidRPr="004E4D6A" w:rsidRDefault="00B95E5F" w:rsidP="00B95E5F">
            <w:pPr>
              <w:ind w:right="-143"/>
              <w:jc w:val="center"/>
              <w:rPr>
                <w:rFonts w:ascii="Arial" w:hAnsi="Arial" w:cs="Arial"/>
                <w:b/>
                <w:sz w:val="20"/>
                <w:szCs w:val="20"/>
                <w:lang w:eastAsia="en-US"/>
              </w:rPr>
            </w:pPr>
          </w:p>
        </w:tc>
        <w:tc>
          <w:tcPr>
            <w:tcW w:w="1559" w:type="dxa"/>
          </w:tcPr>
          <w:p w14:paraId="1EE439A0" w14:textId="459F0EC6"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Skaidrojums</w:t>
            </w:r>
          </w:p>
        </w:tc>
        <w:tc>
          <w:tcPr>
            <w:tcW w:w="6771" w:type="dxa"/>
          </w:tcPr>
          <w:p w14:paraId="25DCE112" w14:textId="5F7EA0D8" w:rsidR="004702EB" w:rsidRPr="004E4D6A" w:rsidRDefault="004702EB" w:rsidP="00827833">
            <w:pPr>
              <w:shd w:val="clear" w:color="auto" w:fill="FFFFFF"/>
              <w:spacing w:after="120"/>
              <w:jc w:val="both"/>
              <w:rPr>
                <w:rFonts w:ascii="Arial" w:hAnsi="Arial" w:cs="Arial"/>
                <w:sz w:val="20"/>
                <w:szCs w:val="20"/>
              </w:rPr>
            </w:pPr>
            <w:r w:rsidRPr="004E4D6A">
              <w:rPr>
                <w:rFonts w:ascii="Arial" w:hAnsi="Arial" w:cs="Arial"/>
                <w:sz w:val="20"/>
                <w:szCs w:val="20"/>
              </w:rPr>
              <w:t>Nolikuma punktā 3.10. noteikto sertifikātu, licenču un atļauj</w:t>
            </w:r>
            <w:r w:rsidR="00D8459F" w:rsidRPr="004E4D6A">
              <w:rPr>
                <w:rFonts w:ascii="Arial" w:hAnsi="Arial" w:cs="Arial"/>
                <w:sz w:val="20"/>
                <w:szCs w:val="20"/>
              </w:rPr>
              <w:t>u nepieciešamību apakšuzņēmēja</w:t>
            </w:r>
            <w:r w:rsidRPr="004E4D6A">
              <w:rPr>
                <w:rFonts w:ascii="Arial" w:hAnsi="Arial" w:cs="Arial"/>
                <w:sz w:val="20"/>
                <w:szCs w:val="20"/>
              </w:rPr>
              <w:t xml:space="preserve">m, piedāvājuma sagatavošanas gaitā izvērtē pretendents atkarībā no </w:t>
            </w:r>
            <w:r w:rsidR="00D8459F" w:rsidRPr="004E4D6A">
              <w:rPr>
                <w:rFonts w:ascii="Arial" w:hAnsi="Arial" w:cs="Arial"/>
                <w:sz w:val="20"/>
                <w:szCs w:val="20"/>
              </w:rPr>
              <w:t>apakš</w:t>
            </w:r>
            <w:r w:rsidRPr="004E4D6A">
              <w:rPr>
                <w:rFonts w:ascii="Arial" w:hAnsi="Arial" w:cs="Arial"/>
                <w:sz w:val="20"/>
                <w:szCs w:val="20"/>
              </w:rPr>
              <w:t>u</w:t>
            </w:r>
            <w:r w:rsidR="00D8459F" w:rsidRPr="004E4D6A">
              <w:rPr>
                <w:rFonts w:ascii="Arial" w:hAnsi="Arial" w:cs="Arial"/>
                <w:sz w:val="20"/>
                <w:szCs w:val="20"/>
              </w:rPr>
              <w:t>z</w:t>
            </w:r>
            <w:r w:rsidRPr="004E4D6A">
              <w:rPr>
                <w:rFonts w:ascii="Arial" w:hAnsi="Arial" w:cs="Arial"/>
                <w:sz w:val="20"/>
                <w:szCs w:val="20"/>
              </w:rPr>
              <w:t xml:space="preserve">ņēmējam nododamās darbu </w:t>
            </w:r>
            <w:r w:rsidR="00D8459F" w:rsidRPr="004E4D6A">
              <w:rPr>
                <w:rFonts w:ascii="Arial" w:hAnsi="Arial" w:cs="Arial"/>
                <w:sz w:val="20"/>
                <w:szCs w:val="20"/>
              </w:rPr>
              <w:t xml:space="preserve">daļas </w:t>
            </w:r>
            <w:r w:rsidRPr="004E4D6A">
              <w:rPr>
                <w:rFonts w:ascii="Arial" w:hAnsi="Arial" w:cs="Arial"/>
                <w:sz w:val="20"/>
                <w:szCs w:val="20"/>
              </w:rPr>
              <w:t>specifikas un apjoma</w:t>
            </w:r>
            <w:r w:rsidR="006B0D99" w:rsidRPr="004E4D6A">
              <w:rPr>
                <w:rFonts w:ascii="Arial" w:hAnsi="Arial" w:cs="Arial"/>
                <w:sz w:val="20"/>
                <w:szCs w:val="20"/>
              </w:rPr>
              <w:t xml:space="preserve"> un norāda nolikuma 4.pielikumā </w:t>
            </w:r>
            <w:r w:rsidR="006B0D99" w:rsidRPr="004E4D6A">
              <w:rPr>
                <w:rFonts w:ascii="Arial" w:hAnsi="Arial" w:cs="Arial"/>
                <w:i/>
                <w:sz w:val="20"/>
                <w:szCs w:val="20"/>
              </w:rPr>
              <w:t>“Informācija par līguma izpildi”.</w:t>
            </w:r>
            <w:r w:rsidR="006B0D99" w:rsidRPr="004E4D6A">
              <w:rPr>
                <w:rFonts w:ascii="Arial" w:hAnsi="Arial" w:cs="Arial"/>
                <w:sz w:val="20"/>
                <w:szCs w:val="20"/>
              </w:rPr>
              <w:t xml:space="preserve"> </w:t>
            </w:r>
          </w:p>
          <w:p w14:paraId="34838212" w14:textId="7D1B30C7" w:rsidR="00B95E5F" w:rsidRPr="004E4D6A" w:rsidRDefault="004702EB" w:rsidP="00827833">
            <w:pPr>
              <w:shd w:val="clear" w:color="auto" w:fill="FFFFFF"/>
              <w:spacing w:after="120"/>
              <w:jc w:val="both"/>
              <w:rPr>
                <w:rFonts w:ascii="Arial" w:hAnsi="Arial" w:cs="Arial"/>
                <w:sz w:val="20"/>
                <w:szCs w:val="20"/>
              </w:rPr>
            </w:pPr>
            <w:r w:rsidRPr="004E4D6A">
              <w:rPr>
                <w:rFonts w:ascii="Arial" w:hAnsi="Arial" w:cs="Arial"/>
                <w:sz w:val="20"/>
                <w:szCs w:val="20"/>
              </w:rPr>
              <w:t>Iesniegt</w:t>
            </w:r>
            <w:r w:rsidR="006B0D99" w:rsidRPr="004E4D6A">
              <w:rPr>
                <w:rFonts w:ascii="Arial" w:hAnsi="Arial" w:cs="Arial"/>
                <w:sz w:val="20"/>
                <w:szCs w:val="20"/>
              </w:rPr>
              <w:t xml:space="preserve">ās informācijas </w:t>
            </w:r>
            <w:r w:rsidRPr="004E4D6A">
              <w:rPr>
                <w:rFonts w:ascii="Arial" w:hAnsi="Arial" w:cs="Arial"/>
                <w:sz w:val="20"/>
                <w:szCs w:val="20"/>
              </w:rPr>
              <w:t>pārbaud</w:t>
            </w:r>
            <w:r w:rsidR="00D8459F" w:rsidRPr="004E4D6A">
              <w:rPr>
                <w:rFonts w:ascii="Arial" w:hAnsi="Arial" w:cs="Arial"/>
                <w:sz w:val="20"/>
                <w:szCs w:val="20"/>
              </w:rPr>
              <w:t>i veiks Komisija, vērtēj</w:t>
            </w:r>
            <w:r w:rsidR="006B0D99" w:rsidRPr="004E4D6A">
              <w:rPr>
                <w:rFonts w:ascii="Arial" w:hAnsi="Arial" w:cs="Arial"/>
                <w:sz w:val="20"/>
                <w:szCs w:val="20"/>
              </w:rPr>
              <w:t>ot iesniegto piedāvājumu kopumā, atbilstoši nolikumā izvirzītajām prasībām.</w:t>
            </w:r>
          </w:p>
        </w:tc>
      </w:tr>
      <w:tr w:rsidR="00B95E5F" w:rsidRPr="004E4D6A" w14:paraId="6CD20A27" w14:textId="77777777" w:rsidTr="00827833">
        <w:trPr>
          <w:trHeight w:val="773"/>
        </w:trPr>
        <w:tc>
          <w:tcPr>
            <w:tcW w:w="709" w:type="dxa"/>
          </w:tcPr>
          <w:p w14:paraId="70C90406" w14:textId="56AE1749" w:rsidR="00B95E5F" w:rsidRPr="004E4D6A" w:rsidRDefault="00B95E5F" w:rsidP="00B95E5F">
            <w:pPr>
              <w:ind w:right="-143"/>
              <w:jc w:val="center"/>
              <w:rPr>
                <w:rFonts w:ascii="Arial" w:hAnsi="Arial" w:cs="Arial"/>
                <w:b/>
                <w:sz w:val="20"/>
                <w:szCs w:val="20"/>
                <w:lang w:eastAsia="en-US"/>
              </w:rPr>
            </w:pPr>
            <w:r w:rsidRPr="004E4D6A">
              <w:rPr>
                <w:rFonts w:ascii="Arial" w:hAnsi="Arial" w:cs="Arial"/>
                <w:b/>
                <w:sz w:val="20"/>
                <w:szCs w:val="20"/>
                <w:lang w:eastAsia="en-US"/>
              </w:rPr>
              <w:t>5.</w:t>
            </w:r>
          </w:p>
        </w:tc>
        <w:tc>
          <w:tcPr>
            <w:tcW w:w="1559" w:type="dxa"/>
          </w:tcPr>
          <w:p w14:paraId="4C651B67" w14:textId="50B2A74D"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Jautājums</w:t>
            </w:r>
          </w:p>
        </w:tc>
        <w:tc>
          <w:tcPr>
            <w:tcW w:w="6771" w:type="dxa"/>
          </w:tcPr>
          <w:p w14:paraId="154798EB"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Nolikuma 6.pielikums</w:t>
            </w:r>
          </w:p>
          <w:p w14:paraId="76C21E7F"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9. Piedāvājuma noformējuma pārbaudei, pretendentu atlasei, kā arī piedāvājumu vērtēšanai un salīdzināšanai Komisija var pieaicināt ekspertu.</w:t>
            </w:r>
          </w:p>
          <w:p w14:paraId="1018F802"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p>
          <w:p w14:paraId="28EF2099"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1.Kurš un kas nosaka pieaicināmā eksperta kvalifikāciju un atbilstību?</w:t>
            </w:r>
          </w:p>
          <w:p w14:paraId="78C24613"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2.Kurš nes atbildību par to, ka pieaicināmais eksperts nav ieinteresēts konkrēta pretendenta izvēlē vai darbībā?</w:t>
            </w:r>
          </w:p>
          <w:p w14:paraId="50074575"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3.Kur un kā ir pārbaudāma informācija par to, ka eksperts nav ieinteresēts konkrēta pretendenta izvēlē vai darbībā? Vai eksperta parakstam ir juridisks spēks?</w:t>
            </w:r>
          </w:p>
          <w:p w14:paraId="5DD91A47" w14:textId="77777777" w:rsidR="00B95E5F" w:rsidRPr="004E4D6A" w:rsidRDefault="00B95E5F" w:rsidP="00827833">
            <w:pPr>
              <w:shd w:val="clear" w:color="auto" w:fill="FFFFFF"/>
              <w:spacing w:after="120"/>
              <w:jc w:val="both"/>
              <w:rPr>
                <w:rFonts w:ascii="Arial" w:hAnsi="Arial" w:cs="Arial"/>
                <w:sz w:val="20"/>
                <w:szCs w:val="20"/>
              </w:rPr>
            </w:pPr>
          </w:p>
        </w:tc>
      </w:tr>
      <w:tr w:rsidR="00B95E5F" w:rsidRPr="004E4D6A" w14:paraId="238A618C" w14:textId="77777777" w:rsidTr="00827833">
        <w:trPr>
          <w:trHeight w:val="773"/>
        </w:trPr>
        <w:tc>
          <w:tcPr>
            <w:tcW w:w="709" w:type="dxa"/>
          </w:tcPr>
          <w:p w14:paraId="6CA7A64D" w14:textId="77777777" w:rsidR="00B95E5F" w:rsidRPr="004E4D6A" w:rsidRDefault="00B95E5F" w:rsidP="00B95E5F">
            <w:pPr>
              <w:ind w:right="-143"/>
              <w:jc w:val="center"/>
              <w:rPr>
                <w:rFonts w:ascii="Arial" w:hAnsi="Arial" w:cs="Arial"/>
                <w:b/>
                <w:sz w:val="20"/>
                <w:szCs w:val="20"/>
                <w:lang w:eastAsia="en-US"/>
              </w:rPr>
            </w:pPr>
          </w:p>
        </w:tc>
        <w:tc>
          <w:tcPr>
            <w:tcW w:w="1559" w:type="dxa"/>
          </w:tcPr>
          <w:p w14:paraId="50DC7DBE" w14:textId="6AAC3CDC"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Skaidrojums</w:t>
            </w:r>
          </w:p>
        </w:tc>
        <w:tc>
          <w:tcPr>
            <w:tcW w:w="6771" w:type="dxa"/>
          </w:tcPr>
          <w:p w14:paraId="65D599FB" w14:textId="4554146F" w:rsidR="00C6116B" w:rsidRPr="004E4D6A" w:rsidRDefault="00C6116B" w:rsidP="00827833">
            <w:pPr>
              <w:shd w:val="clear" w:color="auto" w:fill="FFFFFF"/>
              <w:spacing w:after="120"/>
              <w:jc w:val="both"/>
              <w:rPr>
                <w:rFonts w:ascii="Arial" w:hAnsi="Arial" w:cs="Arial"/>
                <w:i/>
                <w:sz w:val="20"/>
                <w:szCs w:val="20"/>
              </w:rPr>
            </w:pPr>
            <w:r w:rsidRPr="004E4D6A">
              <w:rPr>
                <w:rFonts w:ascii="Arial" w:hAnsi="Arial" w:cs="Arial"/>
                <w:sz w:val="20"/>
                <w:szCs w:val="20"/>
              </w:rPr>
              <w:t xml:space="preserve">Nolikuma 6.pielikuma 9.punktā noteiktais ir atbilstošs Publisko iepirkumu likuma 24.panta otrā daļa noteiktajam </w:t>
            </w:r>
            <w:r w:rsidRPr="004E4D6A">
              <w:rPr>
                <w:rFonts w:ascii="Arial" w:hAnsi="Arial" w:cs="Arial"/>
                <w:i/>
                <w:sz w:val="20"/>
                <w:szCs w:val="20"/>
              </w:rPr>
              <w:t>[…Iepirkuma komisija, pildot savus pienākumus, ir tiesīga pieaicināt ekspertus.]</w:t>
            </w:r>
          </w:p>
          <w:p w14:paraId="5DF6C649" w14:textId="5CEC2100" w:rsidR="0096307B" w:rsidRPr="004E4D6A" w:rsidRDefault="00544229" w:rsidP="00827833">
            <w:pPr>
              <w:shd w:val="clear" w:color="auto" w:fill="FFFFFF"/>
              <w:spacing w:after="120"/>
              <w:jc w:val="both"/>
              <w:rPr>
                <w:rFonts w:ascii="Arial" w:hAnsi="Arial" w:cs="Arial"/>
                <w:sz w:val="20"/>
                <w:szCs w:val="20"/>
              </w:rPr>
            </w:pPr>
            <w:r w:rsidRPr="004E4D6A">
              <w:rPr>
                <w:rFonts w:ascii="Arial" w:hAnsi="Arial" w:cs="Arial"/>
                <w:sz w:val="20"/>
                <w:szCs w:val="20"/>
              </w:rPr>
              <w:t xml:space="preserve">Līdz ar to, </w:t>
            </w:r>
            <w:r w:rsidR="0096307B" w:rsidRPr="004E4D6A">
              <w:rPr>
                <w:rFonts w:ascii="Arial" w:hAnsi="Arial" w:cs="Arial"/>
                <w:sz w:val="20"/>
                <w:szCs w:val="20"/>
              </w:rPr>
              <w:t>Komisija i</w:t>
            </w:r>
            <w:r w:rsidR="00C6116B" w:rsidRPr="004E4D6A">
              <w:rPr>
                <w:rFonts w:ascii="Arial" w:hAnsi="Arial" w:cs="Arial"/>
                <w:sz w:val="20"/>
                <w:szCs w:val="20"/>
              </w:rPr>
              <w:t>r tiesīga i</w:t>
            </w:r>
            <w:r w:rsidR="0096307B" w:rsidRPr="004E4D6A">
              <w:rPr>
                <w:rFonts w:ascii="Arial" w:hAnsi="Arial" w:cs="Arial"/>
                <w:sz w:val="20"/>
                <w:szCs w:val="20"/>
              </w:rPr>
              <w:t>zvēl</w:t>
            </w:r>
            <w:r w:rsidR="00C6116B" w:rsidRPr="004E4D6A">
              <w:rPr>
                <w:rFonts w:ascii="Arial" w:hAnsi="Arial" w:cs="Arial"/>
                <w:sz w:val="20"/>
                <w:szCs w:val="20"/>
              </w:rPr>
              <w:t>ēties</w:t>
            </w:r>
            <w:r w:rsidR="0096307B" w:rsidRPr="004E4D6A">
              <w:rPr>
                <w:rFonts w:ascii="Arial" w:hAnsi="Arial" w:cs="Arial"/>
                <w:sz w:val="20"/>
                <w:szCs w:val="20"/>
              </w:rPr>
              <w:t xml:space="preserve"> speciālistu, kura kvalifikācija un zināšanas</w:t>
            </w:r>
            <w:r w:rsidR="00C6116B" w:rsidRPr="004E4D6A">
              <w:rPr>
                <w:rFonts w:ascii="Arial" w:hAnsi="Arial" w:cs="Arial"/>
                <w:sz w:val="20"/>
                <w:szCs w:val="20"/>
              </w:rPr>
              <w:t xml:space="preserve"> ļauj tam izdarīt pamatotus secinājumus un ieteikumus kādā konkrētā jomā, kas ir atbilstoša iepirkuma priekšmetam.</w:t>
            </w:r>
          </w:p>
          <w:p w14:paraId="69BAEA18" w14:textId="22E8FA19" w:rsidR="00544229" w:rsidRPr="004E4D6A" w:rsidRDefault="00544229" w:rsidP="00827833">
            <w:pPr>
              <w:shd w:val="clear" w:color="auto" w:fill="FFFFFF"/>
              <w:spacing w:after="120"/>
              <w:jc w:val="both"/>
              <w:rPr>
                <w:rFonts w:ascii="Arial" w:hAnsi="Arial" w:cs="Arial"/>
                <w:sz w:val="20"/>
                <w:szCs w:val="20"/>
              </w:rPr>
            </w:pPr>
            <w:r w:rsidRPr="004E4D6A">
              <w:rPr>
                <w:rFonts w:ascii="Arial" w:hAnsi="Arial" w:cs="Arial"/>
                <w:sz w:val="20"/>
                <w:szCs w:val="20"/>
              </w:rPr>
              <w:t>Iepirkum</w:t>
            </w:r>
            <w:r w:rsidR="009D519A">
              <w:rPr>
                <w:rFonts w:ascii="Arial" w:hAnsi="Arial" w:cs="Arial"/>
                <w:sz w:val="20"/>
                <w:szCs w:val="20"/>
              </w:rPr>
              <w:t>u</w:t>
            </w:r>
            <w:r w:rsidRPr="004E4D6A">
              <w:rPr>
                <w:rFonts w:ascii="Arial" w:hAnsi="Arial" w:cs="Arial"/>
                <w:sz w:val="20"/>
                <w:szCs w:val="20"/>
              </w:rPr>
              <w:t xml:space="preserve"> komisija ir atbildīga par iepirkuma procesu, bet </w:t>
            </w:r>
            <w:r w:rsidR="009D519A">
              <w:rPr>
                <w:rFonts w:ascii="Arial" w:hAnsi="Arial" w:cs="Arial"/>
                <w:sz w:val="20"/>
                <w:szCs w:val="20"/>
              </w:rPr>
              <w:t>I</w:t>
            </w:r>
            <w:r w:rsidRPr="004E4D6A">
              <w:rPr>
                <w:rFonts w:ascii="Arial" w:hAnsi="Arial" w:cs="Arial"/>
                <w:sz w:val="20"/>
                <w:szCs w:val="20"/>
              </w:rPr>
              <w:t>epirkum</w:t>
            </w:r>
            <w:r w:rsidR="009D519A">
              <w:rPr>
                <w:rFonts w:ascii="Arial" w:hAnsi="Arial" w:cs="Arial"/>
                <w:sz w:val="20"/>
                <w:szCs w:val="20"/>
              </w:rPr>
              <w:t>u</w:t>
            </w:r>
            <w:r w:rsidRPr="004E4D6A">
              <w:rPr>
                <w:rFonts w:ascii="Arial" w:hAnsi="Arial" w:cs="Arial"/>
                <w:sz w:val="20"/>
                <w:szCs w:val="20"/>
              </w:rPr>
              <w:t xml:space="preserve"> komisijas priekšsēdētājs organizē un vada komisijas darbu, kā arī nodrošina apliecinājumu parakstīšanu, t.sk. apliecinājumu, kuru paraksta eksperts, ka […</w:t>
            </w:r>
            <w:r w:rsidRPr="004E4D6A">
              <w:rPr>
                <w:rFonts w:ascii="Arial" w:hAnsi="Arial" w:cs="Arial"/>
                <w:i/>
                <w:sz w:val="20"/>
                <w:szCs w:val="20"/>
              </w:rPr>
              <w:t xml:space="preserve">nav tādu apstākļu, kuru dēļ varētu uzskatīt, ka viņi ir ieinteresēti konkrēta kandidāta vai pretendenta izvēlē vai darbībā vai ka viņi ir saistīti ar tiem šā panta </w:t>
            </w:r>
            <w:r w:rsidR="00F5411D">
              <w:rPr>
                <w:rFonts w:ascii="Arial" w:hAnsi="Arial" w:cs="Arial"/>
                <w:i/>
                <w:sz w:val="20"/>
                <w:szCs w:val="20"/>
              </w:rPr>
              <w:t xml:space="preserve">(PIL 25.panta) </w:t>
            </w:r>
            <w:r w:rsidRPr="004E4D6A">
              <w:rPr>
                <w:rFonts w:ascii="Arial" w:hAnsi="Arial" w:cs="Arial"/>
                <w:i/>
                <w:sz w:val="20"/>
                <w:szCs w:val="20"/>
              </w:rPr>
              <w:t>pirmās daļas izpratnē.]</w:t>
            </w:r>
            <w:r w:rsidR="00FB2154" w:rsidRPr="004E4D6A">
              <w:rPr>
                <w:rFonts w:ascii="Arial" w:hAnsi="Arial" w:cs="Arial"/>
                <w:i/>
                <w:sz w:val="20"/>
                <w:szCs w:val="20"/>
              </w:rPr>
              <w:t xml:space="preserve">. </w:t>
            </w:r>
            <w:r w:rsidR="00FB2154" w:rsidRPr="004E4D6A">
              <w:rPr>
                <w:rFonts w:ascii="Arial" w:hAnsi="Arial" w:cs="Arial"/>
                <w:sz w:val="20"/>
                <w:szCs w:val="20"/>
              </w:rPr>
              <w:t>Tādejādi, pats eksperts uzņemas atbildību</w:t>
            </w:r>
            <w:r w:rsidR="009D71AF">
              <w:rPr>
                <w:rFonts w:ascii="Arial" w:hAnsi="Arial" w:cs="Arial"/>
                <w:sz w:val="20"/>
                <w:szCs w:val="20"/>
              </w:rPr>
              <w:t xml:space="preserve"> par  patiesas vai nepatiesas informācijas sniegšanu Komisijai attiecībā uz to,</w:t>
            </w:r>
            <w:r w:rsidR="00FB2154" w:rsidRPr="004E4D6A">
              <w:rPr>
                <w:rFonts w:ascii="Arial" w:hAnsi="Arial" w:cs="Arial"/>
                <w:sz w:val="20"/>
                <w:szCs w:val="20"/>
              </w:rPr>
              <w:t xml:space="preserve"> ka </w:t>
            </w:r>
            <w:r w:rsidR="009D519A">
              <w:rPr>
                <w:rFonts w:ascii="Arial" w:hAnsi="Arial" w:cs="Arial"/>
                <w:sz w:val="20"/>
                <w:szCs w:val="20"/>
              </w:rPr>
              <w:t xml:space="preserve">eksperts </w:t>
            </w:r>
            <w:r w:rsidR="00FB2154" w:rsidRPr="004E4D6A">
              <w:rPr>
                <w:rFonts w:ascii="Arial" w:hAnsi="Arial" w:cs="Arial"/>
                <w:sz w:val="20"/>
                <w:szCs w:val="20"/>
              </w:rPr>
              <w:t>nav ieinteresēts konkrēta pretendenta izvēlē vai darbībā.</w:t>
            </w:r>
          </w:p>
          <w:p w14:paraId="35D0BA5D" w14:textId="1C9B5B47" w:rsidR="0096307B" w:rsidRPr="004E4D6A" w:rsidRDefault="00012684" w:rsidP="009D71AF">
            <w:pPr>
              <w:shd w:val="clear" w:color="auto" w:fill="FFFFFF"/>
              <w:spacing w:after="120"/>
              <w:jc w:val="both"/>
              <w:rPr>
                <w:rFonts w:ascii="Arial" w:hAnsi="Arial" w:cs="Arial"/>
                <w:sz w:val="20"/>
                <w:szCs w:val="20"/>
              </w:rPr>
            </w:pPr>
            <w:r w:rsidRPr="004E4D6A">
              <w:rPr>
                <w:rFonts w:ascii="Arial" w:hAnsi="Arial" w:cs="Arial"/>
                <w:sz w:val="20"/>
                <w:szCs w:val="20"/>
              </w:rPr>
              <w:t xml:space="preserve">Parakstot apliecinājumu par neieinteresētību, </w:t>
            </w:r>
            <w:r w:rsidR="00FB2154" w:rsidRPr="004E4D6A">
              <w:rPr>
                <w:rFonts w:ascii="Arial" w:hAnsi="Arial" w:cs="Arial"/>
                <w:sz w:val="20"/>
                <w:szCs w:val="20"/>
              </w:rPr>
              <w:t xml:space="preserve">apliecinājumā norādītā informācija </w:t>
            </w:r>
            <w:r w:rsidRPr="004E4D6A">
              <w:rPr>
                <w:rFonts w:ascii="Arial" w:hAnsi="Arial" w:cs="Arial"/>
                <w:sz w:val="20"/>
                <w:szCs w:val="20"/>
              </w:rPr>
              <w:t xml:space="preserve">tiek uzskatīta par patiesu. </w:t>
            </w:r>
            <w:r w:rsidR="009D71AF">
              <w:rPr>
                <w:rFonts w:ascii="Arial" w:hAnsi="Arial" w:cs="Arial"/>
                <w:sz w:val="20"/>
                <w:szCs w:val="20"/>
              </w:rPr>
              <w:t xml:space="preserve">Ja dokuments ir parakstīts atbilstoši Dokumentu juridiskā spēka likumam vai Elektronisko dokumentu likumam, </w:t>
            </w:r>
            <w:r w:rsidRPr="004E4D6A">
              <w:rPr>
                <w:rFonts w:ascii="Arial" w:hAnsi="Arial" w:cs="Arial"/>
                <w:sz w:val="20"/>
                <w:szCs w:val="20"/>
              </w:rPr>
              <w:t>tad šāds dokuments nodrošina tā juridisko spēku.</w:t>
            </w:r>
          </w:p>
        </w:tc>
      </w:tr>
      <w:tr w:rsidR="00B95E5F" w:rsidRPr="004E4D6A" w14:paraId="28E2C5BF" w14:textId="77777777" w:rsidTr="00827833">
        <w:trPr>
          <w:trHeight w:val="773"/>
        </w:trPr>
        <w:tc>
          <w:tcPr>
            <w:tcW w:w="709" w:type="dxa"/>
          </w:tcPr>
          <w:p w14:paraId="03C08985" w14:textId="6BA07896" w:rsidR="00B95E5F" w:rsidRPr="004E4D6A" w:rsidRDefault="00B95E5F" w:rsidP="00B95E5F">
            <w:pPr>
              <w:ind w:right="-143"/>
              <w:jc w:val="center"/>
              <w:rPr>
                <w:rFonts w:ascii="Arial" w:hAnsi="Arial" w:cs="Arial"/>
                <w:b/>
                <w:sz w:val="20"/>
                <w:szCs w:val="20"/>
                <w:lang w:eastAsia="en-US"/>
              </w:rPr>
            </w:pPr>
            <w:r w:rsidRPr="004E4D6A">
              <w:rPr>
                <w:rFonts w:ascii="Arial" w:hAnsi="Arial" w:cs="Arial"/>
                <w:b/>
                <w:sz w:val="20"/>
                <w:szCs w:val="20"/>
                <w:lang w:eastAsia="en-US"/>
              </w:rPr>
              <w:t>6.</w:t>
            </w:r>
          </w:p>
        </w:tc>
        <w:tc>
          <w:tcPr>
            <w:tcW w:w="1559" w:type="dxa"/>
          </w:tcPr>
          <w:p w14:paraId="0ECCF095" w14:textId="76A3C4C4"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Jautājums</w:t>
            </w:r>
          </w:p>
        </w:tc>
        <w:tc>
          <w:tcPr>
            <w:tcW w:w="6771" w:type="dxa"/>
          </w:tcPr>
          <w:p w14:paraId="0FF3A965"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r w:rsidRPr="00B95E5F">
              <w:rPr>
                <w:rFonts w:ascii="Arial" w:eastAsia="Calibri" w:hAnsi="Arial" w:cs="Arial"/>
                <w:i/>
                <w:iCs/>
                <w:sz w:val="20"/>
                <w:szCs w:val="20"/>
                <w:lang w:eastAsia="en-US"/>
              </w:rPr>
              <w:t>Nolikuma 7. pielikums Tāme Nr.p.k. 6.1 un Nr.p.k. 6.2</w:t>
            </w:r>
          </w:p>
          <w:p w14:paraId="11B63B78" w14:textId="77777777" w:rsidR="00B95E5F" w:rsidRPr="00B95E5F" w:rsidRDefault="00B95E5F" w:rsidP="00827833">
            <w:pPr>
              <w:autoSpaceDE w:val="0"/>
              <w:autoSpaceDN w:val="0"/>
              <w:adjustRightInd w:val="0"/>
              <w:jc w:val="both"/>
              <w:rPr>
                <w:rFonts w:ascii="Arial" w:eastAsia="Calibri" w:hAnsi="Arial" w:cs="Arial"/>
                <w:i/>
                <w:iCs/>
                <w:sz w:val="20"/>
                <w:szCs w:val="20"/>
                <w:lang w:eastAsia="en-US"/>
              </w:rPr>
            </w:pPr>
          </w:p>
          <w:p w14:paraId="171431C7" w14:textId="77777777" w:rsidR="00B95E5F" w:rsidRPr="00B95E5F" w:rsidRDefault="00B95E5F" w:rsidP="00827833">
            <w:pPr>
              <w:autoSpaceDE w:val="0"/>
              <w:autoSpaceDN w:val="0"/>
              <w:adjustRightInd w:val="0"/>
              <w:jc w:val="both"/>
              <w:rPr>
                <w:rFonts w:ascii="Arial" w:eastAsia="Calibri" w:hAnsi="Arial" w:cs="Arial"/>
                <w:sz w:val="20"/>
                <w:szCs w:val="20"/>
                <w:lang w:eastAsia="en-US"/>
              </w:rPr>
            </w:pPr>
            <w:r w:rsidRPr="00B95E5F">
              <w:rPr>
                <w:rFonts w:ascii="Arial" w:eastAsia="Calibri" w:hAnsi="Arial" w:cs="Arial"/>
                <w:sz w:val="20"/>
                <w:szCs w:val="20"/>
                <w:lang w:eastAsia="en-US"/>
              </w:rPr>
              <w:t>1.Kāds ir pamatojums šo darbu iekļaušanai piegādes Iepirkumā, it sevišķi ņemot vērā, ka šī konkrētā ražotāja luksoforu kontrolierus ir sertificēts programmēt vai veikt korekcijas signālplānos Latvijas teritorijā tikai viens uzņēmums – SIA “Lucidus”, kas savukārt nodrošina uzvaru Iepirkumā tikai šim uzņēmumam?</w:t>
            </w:r>
          </w:p>
          <w:p w14:paraId="67364ADC" w14:textId="77777777" w:rsidR="00B95E5F" w:rsidRPr="004E4D6A" w:rsidRDefault="00B95E5F" w:rsidP="00827833">
            <w:pPr>
              <w:shd w:val="clear" w:color="auto" w:fill="FFFFFF"/>
              <w:spacing w:after="120"/>
              <w:jc w:val="both"/>
              <w:rPr>
                <w:rFonts w:ascii="Arial" w:hAnsi="Arial" w:cs="Arial"/>
                <w:sz w:val="20"/>
                <w:szCs w:val="20"/>
              </w:rPr>
            </w:pPr>
          </w:p>
        </w:tc>
      </w:tr>
      <w:tr w:rsidR="00B95E5F" w:rsidRPr="004E4D6A" w14:paraId="244F4713" w14:textId="77777777" w:rsidTr="00827833">
        <w:trPr>
          <w:trHeight w:val="773"/>
        </w:trPr>
        <w:tc>
          <w:tcPr>
            <w:tcW w:w="709" w:type="dxa"/>
          </w:tcPr>
          <w:p w14:paraId="1B2857D6" w14:textId="77777777" w:rsidR="00B95E5F" w:rsidRPr="004E4D6A" w:rsidRDefault="00B95E5F" w:rsidP="00B95E5F">
            <w:pPr>
              <w:ind w:right="-143"/>
              <w:jc w:val="center"/>
              <w:rPr>
                <w:rFonts w:ascii="Arial" w:hAnsi="Arial" w:cs="Arial"/>
                <w:b/>
                <w:sz w:val="20"/>
                <w:szCs w:val="20"/>
                <w:lang w:eastAsia="en-US"/>
              </w:rPr>
            </w:pPr>
          </w:p>
        </w:tc>
        <w:tc>
          <w:tcPr>
            <w:tcW w:w="1559" w:type="dxa"/>
          </w:tcPr>
          <w:p w14:paraId="1EC8F27A" w14:textId="0C685F9A" w:rsidR="00B95E5F" w:rsidRPr="004E4D6A" w:rsidRDefault="00B95E5F" w:rsidP="00B4657F">
            <w:pPr>
              <w:ind w:right="-143"/>
              <w:jc w:val="both"/>
              <w:rPr>
                <w:rFonts w:ascii="Arial" w:hAnsi="Arial" w:cs="Arial"/>
                <w:b/>
                <w:sz w:val="20"/>
                <w:szCs w:val="20"/>
                <w:lang w:eastAsia="en-US"/>
              </w:rPr>
            </w:pPr>
            <w:r w:rsidRPr="004E4D6A">
              <w:rPr>
                <w:rFonts w:ascii="Arial" w:hAnsi="Arial" w:cs="Arial"/>
                <w:b/>
                <w:sz w:val="20"/>
                <w:szCs w:val="20"/>
                <w:lang w:eastAsia="en-US"/>
              </w:rPr>
              <w:t>Skaidrojums</w:t>
            </w:r>
          </w:p>
        </w:tc>
        <w:tc>
          <w:tcPr>
            <w:tcW w:w="6771" w:type="dxa"/>
          </w:tcPr>
          <w:p w14:paraId="709EC527" w14:textId="7B202322" w:rsidR="00B95E5F" w:rsidRPr="004E4D6A" w:rsidRDefault="00B95E5F" w:rsidP="00827833">
            <w:pPr>
              <w:shd w:val="clear" w:color="auto" w:fill="FFFFFF"/>
              <w:spacing w:after="120"/>
              <w:jc w:val="both"/>
              <w:rPr>
                <w:rFonts w:ascii="Arial" w:hAnsi="Arial" w:cs="Arial"/>
                <w:sz w:val="20"/>
                <w:szCs w:val="20"/>
              </w:rPr>
            </w:pPr>
            <w:r w:rsidRPr="004E4D6A">
              <w:rPr>
                <w:rFonts w:ascii="Arial" w:hAnsi="Arial" w:cs="Arial"/>
                <w:sz w:val="20"/>
                <w:szCs w:val="20"/>
              </w:rPr>
              <w:t>Nolikuma 7. pielikuma Tāmes pozīcijās Nr. 6.1. un Nr. 6.2. minēto darbu veikšana ir paredzēta gadījumiem, kad</w:t>
            </w:r>
            <w:r w:rsidR="009D71AF">
              <w:rPr>
                <w:rFonts w:ascii="Arial" w:hAnsi="Arial" w:cs="Arial"/>
                <w:sz w:val="20"/>
                <w:szCs w:val="20"/>
              </w:rPr>
              <w:t>,</w:t>
            </w:r>
            <w:r w:rsidRPr="004E4D6A">
              <w:rPr>
                <w:rFonts w:ascii="Arial" w:hAnsi="Arial" w:cs="Arial"/>
                <w:sz w:val="20"/>
                <w:szCs w:val="20"/>
              </w:rPr>
              <w:t xml:space="preserve"> iegādājoties luksoforu kontrolierus (tāmju pozīcijas 3.1.,3.2., 3.3., 3.4., 3.5.)</w:t>
            </w:r>
            <w:r w:rsidR="009D71AF">
              <w:rPr>
                <w:rFonts w:ascii="Arial" w:hAnsi="Arial" w:cs="Arial"/>
                <w:sz w:val="20"/>
                <w:szCs w:val="20"/>
              </w:rPr>
              <w:t>,</w:t>
            </w:r>
            <w:r w:rsidRPr="004E4D6A">
              <w:rPr>
                <w:rFonts w:ascii="Arial" w:hAnsi="Arial" w:cs="Arial"/>
                <w:sz w:val="20"/>
                <w:szCs w:val="20"/>
              </w:rPr>
              <w:t xml:space="preserve"> tiem nepieciešams izstrādāt un ieprogrammēt signālplānu, kas ekvivalents nomaināmajam kontrolierim. Bez šī darba veikšanas luksoforu kontroliera pilnvērtīga darbība nav nodrošināma.</w:t>
            </w:r>
          </w:p>
          <w:p w14:paraId="1375A0B4" w14:textId="2FD50910" w:rsidR="00B95E5F" w:rsidRPr="004E4D6A" w:rsidRDefault="00B95E5F" w:rsidP="00827833">
            <w:pPr>
              <w:shd w:val="clear" w:color="auto" w:fill="FFFFFF"/>
              <w:spacing w:after="120"/>
              <w:jc w:val="both"/>
              <w:rPr>
                <w:rFonts w:ascii="Arial" w:hAnsi="Arial" w:cs="Arial"/>
                <w:sz w:val="20"/>
                <w:szCs w:val="20"/>
              </w:rPr>
            </w:pPr>
            <w:r w:rsidRPr="004E4D6A">
              <w:rPr>
                <w:rFonts w:ascii="Arial" w:hAnsi="Arial" w:cs="Arial"/>
                <w:sz w:val="20"/>
                <w:szCs w:val="20"/>
              </w:rPr>
              <w:t>Ņemot vērā</w:t>
            </w:r>
            <w:r w:rsidR="009D519A">
              <w:rPr>
                <w:rFonts w:ascii="Arial" w:hAnsi="Arial" w:cs="Arial"/>
                <w:sz w:val="20"/>
                <w:szCs w:val="20"/>
              </w:rPr>
              <w:t xml:space="preserve"> to</w:t>
            </w:r>
            <w:bookmarkStart w:id="0" w:name="_GoBack"/>
            <w:bookmarkEnd w:id="0"/>
            <w:r w:rsidRPr="004E4D6A">
              <w:rPr>
                <w:rFonts w:ascii="Arial" w:hAnsi="Arial" w:cs="Arial"/>
                <w:sz w:val="20"/>
                <w:szCs w:val="20"/>
              </w:rPr>
              <w:t>, ka nolikumā nav iekļauta prasība pretendentam norādīt konkrētu personu un tai izsniegtu sertifikātu luksoforu kontrolieru programmēšanai, pretend</w:t>
            </w:r>
            <w:r w:rsidR="009D71AF">
              <w:rPr>
                <w:rFonts w:ascii="Arial" w:hAnsi="Arial" w:cs="Arial"/>
                <w:sz w:val="20"/>
                <w:szCs w:val="20"/>
              </w:rPr>
              <w:t>en</w:t>
            </w:r>
            <w:r w:rsidRPr="004E4D6A">
              <w:rPr>
                <w:rFonts w:ascii="Arial" w:hAnsi="Arial" w:cs="Arial"/>
                <w:sz w:val="20"/>
                <w:szCs w:val="20"/>
              </w:rPr>
              <w:t>tam ir iespēja tam konkrēto speciālistu piesaistīt tikai gadījumā, ja līguma izpildes gaitā tiks izdarīts pasūtījums atbilstoši tāmju pozīcijām 3.1.,3.2., 3.3., 3.4., 3.5.</w:t>
            </w:r>
          </w:p>
          <w:p w14:paraId="1E0AEDBE" w14:textId="515C32BD" w:rsidR="00B95E5F" w:rsidRPr="004E4D6A" w:rsidRDefault="00B95E5F" w:rsidP="00827833">
            <w:pPr>
              <w:shd w:val="clear" w:color="auto" w:fill="FFFFFF"/>
              <w:spacing w:after="120"/>
              <w:jc w:val="both"/>
              <w:rPr>
                <w:rFonts w:ascii="Arial" w:hAnsi="Arial" w:cs="Arial"/>
                <w:sz w:val="20"/>
                <w:szCs w:val="20"/>
              </w:rPr>
            </w:pPr>
            <w:r w:rsidRPr="004E4D6A">
              <w:rPr>
                <w:rFonts w:ascii="Arial" w:hAnsi="Arial" w:cs="Arial"/>
                <w:sz w:val="20"/>
                <w:szCs w:val="20"/>
              </w:rPr>
              <w:lastRenderedPageBreak/>
              <w:t>Pēc pasūtītāja rīcībā esošās informācijas, kompānija “Swarco”, kuras ražojuma kontrolieri norādīti pozīcijās 3.1.,3.2., 3.3., 3.4., 3.5., Latvijā izsniegusi vairākus kontrolieru apkalpošanas sertifikātus personām kuras nav saistītas ar jautājumā norādīto uzņēmumu. Tāpat pasūtītājs ar nolikuma prasībām neierobežo pretendenta iespējas speciālistus piesaistīt no ārvalstīm vai veico</w:t>
            </w:r>
            <w:r w:rsidR="0035189E" w:rsidRPr="004E4D6A">
              <w:rPr>
                <w:rFonts w:ascii="Arial" w:hAnsi="Arial" w:cs="Arial"/>
                <w:sz w:val="20"/>
                <w:szCs w:val="20"/>
              </w:rPr>
              <w:t xml:space="preserve">t konkrēto darbu pie ražotāja. </w:t>
            </w:r>
          </w:p>
        </w:tc>
      </w:tr>
    </w:tbl>
    <w:p w14:paraId="7F2A5C07" w14:textId="1EA3914C" w:rsidR="00F674C0" w:rsidRDefault="00F674C0" w:rsidP="00B4657F">
      <w:pPr>
        <w:ind w:right="-143"/>
        <w:jc w:val="both"/>
        <w:rPr>
          <w:rFonts w:ascii="Arial" w:hAnsi="Arial" w:cs="Arial"/>
          <w:b/>
          <w:sz w:val="20"/>
          <w:szCs w:val="20"/>
          <w:lang w:eastAsia="en-US"/>
        </w:rPr>
      </w:pPr>
    </w:p>
    <w:sectPr w:rsidR="00F674C0" w:rsidSect="00626D13">
      <w:headerReference w:type="even" r:id="rId8"/>
      <w:headerReference w:type="default" r:id="rId9"/>
      <w:footerReference w:type="even" r:id="rId10"/>
      <w:footerReference w:type="default" r:id="rId11"/>
      <w:headerReference w:type="first" r:id="rId12"/>
      <w:footerReference w:type="first" r:id="rId13"/>
      <w:pgSz w:w="11906" w:h="16838"/>
      <w:pgMar w:top="1134" w:right="1274"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8466" w14:textId="77777777" w:rsidR="00B764DA" w:rsidRDefault="00B764DA" w:rsidP="009258C8">
      <w:r>
        <w:separator/>
      </w:r>
    </w:p>
  </w:endnote>
  <w:endnote w:type="continuationSeparator" w:id="0">
    <w:p w14:paraId="7A8A2C3E" w14:textId="77777777" w:rsidR="00B764DA" w:rsidRDefault="00B764D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EF00" w14:textId="77777777" w:rsidR="00B4657F" w:rsidRDefault="00B465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31DE" w14:textId="6EB4227E"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2FBC" w14:textId="77777777" w:rsidR="00B4657F" w:rsidRDefault="00B46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0B25" w14:textId="77777777" w:rsidR="00B764DA" w:rsidRDefault="00B764DA" w:rsidP="009258C8">
      <w:r>
        <w:separator/>
      </w:r>
    </w:p>
  </w:footnote>
  <w:footnote w:type="continuationSeparator" w:id="0">
    <w:p w14:paraId="25598C48" w14:textId="77777777" w:rsidR="00B764DA" w:rsidRDefault="00B764D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948" w14:textId="77777777" w:rsidR="00B4657F" w:rsidRDefault="00B465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349"/>
        </w:tabs>
        <w:ind w:left="349" w:firstLine="0"/>
      </w:pPr>
    </w:lvl>
    <w:lvl w:ilvl="1">
      <w:start w:val="1"/>
      <w:numFmt w:val="decimal"/>
      <w:lvlText w:val="%1.%2."/>
      <w:lvlJc w:val="left"/>
      <w:pPr>
        <w:tabs>
          <w:tab w:val="num" w:pos="349"/>
        </w:tabs>
        <w:ind w:left="349" w:firstLine="0"/>
      </w:pPr>
      <w:rPr>
        <w:b/>
        <w:i w:val="0"/>
        <w:color w:val="000000"/>
        <w:sz w:val="22"/>
      </w:rPr>
    </w:lvl>
    <w:lvl w:ilvl="2">
      <w:start w:val="1"/>
      <w:numFmt w:val="decimal"/>
      <w:lvlText w:val="%1.%2.%3."/>
      <w:lvlJc w:val="left"/>
      <w:pPr>
        <w:tabs>
          <w:tab w:val="num" w:pos="1342"/>
        </w:tabs>
        <w:ind w:left="1342" w:firstLine="0"/>
      </w:pPr>
      <w:rPr>
        <w:b w:val="0"/>
      </w:rPr>
    </w:lvl>
    <w:lvl w:ilvl="3">
      <w:start w:val="1"/>
      <w:numFmt w:val="decimal"/>
      <w:lvlText w:val="%1.%2.%3.%4."/>
      <w:lvlJc w:val="left"/>
      <w:pPr>
        <w:tabs>
          <w:tab w:val="num" w:pos="1626"/>
        </w:tabs>
        <w:ind w:left="1626" w:firstLine="0"/>
      </w:pPr>
    </w:lvl>
    <w:lvl w:ilvl="4">
      <w:start w:val="1"/>
      <w:numFmt w:val="decimal"/>
      <w:lvlText w:val="%1.%2.%3.%4.%5."/>
      <w:lvlJc w:val="left"/>
      <w:pPr>
        <w:tabs>
          <w:tab w:val="num" w:pos="349"/>
        </w:tabs>
        <w:ind w:left="349" w:firstLine="0"/>
      </w:pPr>
    </w:lvl>
    <w:lvl w:ilvl="5">
      <w:start w:val="1"/>
      <w:numFmt w:val="decimal"/>
      <w:lvlText w:val="%1.%2.%3.%4.%5.%6."/>
      <w:lvlJc w:val="left"/>
      <w:pPr>
        <w:tabs>
          <w:tab w:val="num" w:pos="349"/>
        </w:tabs>
        <w:ind w:left="349" w:firstLine="0"/>
      </w:pPr>
    </w:lvl>
    <w:lvl w:ilvl="6">
      <w:start w:val="1"/>
      <w:numFmt w:val="decimal"/>
      <w:lvlText w:val="%1.%2.%3.%4.%5.%6.%7."/>
      <w:lvlJc w:val="left"/>
      <w:pPr>
        <w:tabs>
          <w:tab w:val="num" w:pos="349"/>
        </w:tabs>
        <w:ind w:left="349" w:firstLine="0"/>
      </w:pPr>
    </w:lvl>
    <w:lvl w:ilvl="7">
      <w:start w:val="1"/>
      <w:numFmt w:val="decimal"/>
      <w:lvlText w:val="%1.%2.%3.%4.%5.%6.%7.%8."/>
      <w:lvlJc w:val="left"/>
      <w:pPr>
        <w:tabs>
          <w:tab w:val="num" w:pos="349"/>
        </w:tabs>
        <w:ind w:left="349" w:firstLine="0"/>
      </w:pPr>
    </w:lvl>
    <w:lvl w:ilvl="8">
      <w:start w:val="1"/>
      <w:numFmt w:val="decimal"/>
      <w:lvlText w:val="%1.%2.%3.%4.%5.%6.%7.%8.%9."/>
      <w:lvlJc w:val="left"/>
      <w:pPr>
        <w:tabs>
          <w:tab w:val="num" w:pos="349"/>
        </w:tabs>
        <w:ind w:left="349"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1936FA"/>
    <w:multiLevelType w:val="hybridMultilevel"/>
    <w:tmpl w:val="9C7A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7E26319"/>
    <w:multiLevelType w:val="hybridMultilevel"/>
    <w:tmpl w:val="1AA0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5973CAD"/>
    <w:multiLevelType w:val="multilevel"/>
    <w:tmpl w:val="F0C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8"/>
  </w:num>
  <w:num w:numId="7">
    <w:abstractNumId w:val="3"/>
  </w:num>
  <w:num w:numId="8">
    <w:abstractNumId w:val="17"/>
  </w:num>
  <w:num w:numId="9">
    <w:abstractNumId w:val="6"/>
  </w:num>
  <w:num w:numId="10">
    <w:abstractNumId w:val="5"/>
  </w:num>
  <w:num w:numId="11">
    <w:abstractNumId w:val="17"/>
  </w:num>
  <w:num w:numId="12">
    <w:abstractNumId w:val="6"/>
  </w:num>
  <w:num w:numId="13">
    <w:abstractNumId w:val="15"/>
  </w:num>
  <w:num w:numId="14">
    <w:abstractNumId w:val="12"/>
  </w:num>
  <w:num w:numId="15">
    <w:abstractNumId w:val="16"/>
  </w:num>
  <w:num w:numId="16">
    <w:abstractNumId w:val="14"/>
  </w:num>
  <w:num w:numId="17">
    <w:abstractNumId w:val="11"/>
  </w:num>
  <w:num w:numId="18">
    <w:abstractNumId w:val="1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5318"/>
    <w:rsid w:val="00012684"/>
    <w:rsid w:val="0001269C"/>
    <w:rsid w:val="000148CA"/>
    <w:rsid w:val="000212D5"/>
    <w:rsid w:val="000246E3"/>
    <w:rsid w:val="00036C5D"/>
    <w:rsid w:val="000466AE"/>
    <w:rsid w:val="00046F67"/>
    <w:rsid w:val="00051438"/>
    <w:rsid w:val="00051DC2"/>
    <w:rsid w:val="00052C2D"/>
    <w:rsid w:val="000667F2"/>
    <w:rsid w:val="00067C8C"/>
    <w:rsid w:val="0007583C"/>
    <w:rsid w:val="00083723"/>
    <w:rsid w:val="0009177F"/>
    <w:rsid w:val="000A6CFF"/>
    <w:rsid w:val="000B7112"/>
    <w:rsid w:val="000C6C0F"/>
    <w:rsid w:val="000C6F96"/>
    <w:rsid w:val="000D173B"/>
    <w:rsid w:val="000D60B6"/>
    <w:rsid w:val="000E2068"/>
    <w:rsid w:val="000E3594"/>
    <w:rsid w:val="000F232A"/>
    <w:rsid w:val="000F5CE6"/>
    <w:rsid w:val="000F761E"/>
    <w:rsid w:val="000F7E92"/>
    <w:rsid w:val="001002D7"/>
    <w:rsid w:val="00116EAC"/>
    <w:rsid w:val="00120BDB"/>
    <w:rsid w:val="00122BBD"/>
    <w:rsid w:val="00126735"/>
    <w:rsid w:val="00133187"/>
    <w:rsid w:val="00133287"/>
    <w:rsid w:val="0013367A"/>
    <w:rsid w:val="00137A06"/>
    <w:rsid w:val="00142C09"/>
    <w:rsid w:val="0014680E"/>
    <w:rsid w:val="00155DC8"/>
    <w:rsid w:val="00165C38"/>
    <w:rsid w:val="00170F74"/>
    <w:rsid w:val="0017391A"/>
    <w:rsid w:val="0017483F"/>
    <w:rsid w:val="00175F38"/>
    <w:rsid w:val="00183F4A"/>
    <w:rsid w:val="00190FFF"/>
    <w:rsid w:val="00193F8A"/>
    <w:rsid w:val="001979CE"/>
    <w:rsid w:val="001A0F4A"/>
    <w:rsid w:val="001A1CF4"/>
    <w:rsid w:val="001A2134"/>
    <w:rsid w:val="001A2F50"/>
    <w:rsid w:val="001A7DD9"/>
    <w:rsid w:val="001B0DCB"/>
    <w:rsid w:val="001C29B2"/>
    <w:rsid w:val="001D5FB6"/>
    <w:rsid w:val="001D64EF"/>
    <w:rsid w:val="001D6E78"/>
    <w:rsid w:val="001E10BE"/>
    <w:rsid w:val="001E58C1"/>
    <w:rsid w:val="001E6C76"/>
    <w:rsid w:val="001F0C1D"/>
    <w:rsid w:val="001F5D9A"/>
    <w:rsid w:val="00200FA6"/>
    <w:rsid w:val="00202C90"/>
    <w:rsid w:val="00203942"/>
    <w:rsid w:val="00203FC2"/>
    <w:rsid w:val="002127F0"/>
    <w:rsid w:val="00220AB1"/>
    <w:rsid w:val="00224100"/>
    <w:rsid w:val="00241932"/>
    <w:rsid w:val="0024293C"/>
    <w:rsid w:val="00242DBA"/>
    <w:rsid w:val="00253EA0"/>
    <w:rsid w:val="002607C8"/>
    <w:rsid w:val="00264CAB"/>
    <w:rsid w:val="002652A2"/>
    <w:rsid w:val="0027523D"/>
    <w:rsid w:val="00277C93"/>
    <w:rsid w:val="002809D3"/>
    <w:rsid w:val="00287E35"/>
    <w:rsid w:val="00290F67"/>
    <w:rsid w:val="00292CFE"/>
    <w:rsid w:val="00295DBD"/>
    <w:rsid w:val="002A30A3"/>
    <w:rsid w:val="002A4B70"/>
    <w:rsid w:val="002A71F7"/>
    <w:rsid w:val="002B6C46"/>
    <w:rsid w:val="002C75F9"/>
    <w:rsid w:val="002D6A25"/>
    <w:rsid w:val="002D6C54"/>
    <w:rsid w:val="002E0B9A"/>
    <w:rsid w:val="002E1235"/>
    <w:rsid w:val="002E3374"/>
    <w:rsid w:val="002E5236"/>
    <w:rsid w:val="002F47DA"/>
    <w:rsid w:val="002F63C1"/>
    <w:rsid w:val="002F78D4"/>
    <w:rsid w:val="00302A1F"/>
    <w:rsid w:val="003036CC"/>
    <w:rsid w:val="00303760"/>
    <w:rsid w:val="00304E53"/>
    <w:rsid w:val="003051CA"/>
    <w:rsid w:val="00306583"/>
    <w:rsid w:val="00310D7B"/>
    <w:rsid w:val="00312C2D"/>
    <w:rsid w:val="00317160"/>
    <w:rsid w:val="00317A69"/>
    <w:rsid w:val="0033228A"/>
    <w:rsid w:val="00335FE5"/>
    <w:rsid w:val="00336E01"/>
    <w:rsid w:val="0033774C"/>
    <w:rsid w:val="00337C9D"/>
    <w:rsid w:val="003418D6"/>
    <w:rsid w:val="00342DDC"/>
    <w:rsid w:val="0035189E"/>
    <w:rsid w:val="003519DF"/>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E262A"/>
    <w:rsid w:val="003F68B7"/>
    <w:rsid w:val="003F70F4"/>
    <w:rsid w:val="0040098B"/>
    <w:rsid w:val="00402C18"/>
    <w:rsid w:val="00414154"/>
    <w:rsid w:val="00414C84"/>
    <w:rsid w:val="00426CAC"/>
    <w:rsid w:val="00426CD6"/>
    <w:rsid w:val="00426D9B"/>
    <w:rsid w:val="00426F2E"/>
    <w:rsid w:val="00431511"/>
    <w:rsid w:val="00433ED2"/>
    <w:rsid w:val="00436C14"/>
    <w:rsid w:val="0044260F"/>
    <w:rsid w:val="00451FAD"/>
    <w:rsid w:val="004702EB"/>
    <w:rsid w:val="00471357"/>
    <w:rsid w:val="004722D9"/>
    <w:rsid w:val="00480FCA"/>
    <w:rsid w:val="00483745"/>
    <w:rsid w:val="00486A8E"/>
    <w:rsid w:val="004975A3"/>
    <w:rsid w:val="004B4A7F"/>
    <w:rsid w:val="004C52DC"/>
    <w:rsid w:val="004D07E4"/>
    <w:rsid w:val="004D4550"/>
    <w:rsid w:val="004E2EB0"/>
    <w:rsid w:val="004E4D6A"/>
    <w:rsid w:val="004E6652"/>
    <w:rsid w:val="004F24EE"/>
    <w:rsid w:val="004F2CE8"/>
    <w:rsid w:val="004F69ED"/>
    <w:rsid w:val="00511BC3"/>
    <w:rsid w:val="00512D8B"/>
    <w:rsid w:val="00513C45"/>
    <w:rsid w:val="00516FE2"/>
    <w:rsid w:val="00527B0B"/>
    <w:rsid w:val="00533CFC"/>
    <w:rsid w:val="00537B5A"/>
    <w:rsid w:val="00541322"/>
    <w:rsid w:val="00543085"/>
    <w:rsid w:val="00543B29"/>
    <w:rsid w:val="00544229"/>
    <w:rsid w:val="00546419"/>
    <w:rsid w:val="0055068B"/>
    <w:rsid w:val="00553AE3"/>
    <w:rsid w:val="00562702"/>
    <w:rsid w:val="0056331F"/>
    <w:rsid w:val="00563D75"/>
    <w:rsid w:val="00564182"/>
    <w:rsid w:val="0056464C"/>
    <w:rsid w:val="005665A7"/>
    <w:rsid w:val="00592A8F"/>
    <w:rsid w:val="005A2099"/>
    <w:rsid w:val="005B33BE"/>
    <w:rsid w:val="005B5760"/>
    <w:rsid w:val="005B5B18"/>
    <w:rsid w:val="005C1FD9"/>
    <w:rsid w:val="005C7A39"/>
    <w:rsid w:val="005D29D0"/>
    <w:rsid w:val="005D3BF3"/>
    <w:rsid w:val="005D5BFB"/>
    <w:rsid w:val="005E0637"/>
    <w:rsid w:val="005F5AA8"/>
    <w:rsid w:val="0060323C"/>
    <w:rsid w:val="00607627"/>
    <w:rsid w:val="00613439"/>
    <w:rsid w:val="00616BBA"/>
    <w:rsid w:val="006172F6"/>
    <w:rsid w:val="00626D13"/>
    <w:rsid w:val="0063189A"/>
    <w:rsid w:val="00631C12"/>
    <w:rsid w:val="00633DE3"/>
    <w:rsid w:val="006345F5"/>
    <w:rsid w:val="006373F7"/>
    <w:rsid w:val="006376F6"/>
    <w:rsid w:val="0064389E"/>
    <w:rsid w:val="00646647"/>
    <w:rsid w:val="00650894"/>
    <w:rsid w:val="006514E4"/>
    <w:rsid w:val="00652C82"/>
    <w:rsid w:val="00652DDC"/>
    <w:rsid w:val="0066129B"/>
    <w:rsid w:val="00661894"/>
    <w:rsid w:val="00665022"/>
    <w:rsid w:val="00667B79"/>
    <w:rsid w:val="00672B91"/>
    <w:rsid w:val="00672E78"/>
    <w:rsid w:val="0068443A"/>
    <w:rsid w:val="00685EC7"/>
    <w:rsid w:val="00685F30"/>
    <w:rsid w:val="00686A00"/>
    <w:rsid w:val="006922BF"/>
    <w:rsid w:val="0069314B"/>
    <w:rsid w:val="00694433"/>
    <w:rsid w:val="006A0E36"/>
    <w:rsid w:val="006B0D99"/>
    <w:rsid w:val="006B2C66"/>
    <w:rsid w:val="006B31A1"/>
    <w:rsid w:val="006C69D2"/>
    <w:rsid w:val="006D0D39"/>
    <w:rsid w:val="006D4FBC"/>
    <w:rsid w:val="006D5EF7"/>
    <w:rsid w:val="006D632F"/>
    <w:rsid w:val="006E5122"/>
    <w:rsid w:val="006E7097"/>
    <w:rsid w:val="006F4F03"/>
    <w:rsid w:val="006F7D94"/>
    <w:rsid w:val="00701687"/>
    <w:rsid w:val="00704F88"/>
    <w:rsid w:val="0070791A"/>
    <w:rsid w:val="00710081"/>
    <w:rsid w:val="007173B6"/>
    <w:rsid w:val="0072778E"/>
    <w:rsid w:val="007530E9"/>
    <w:rsid w:val="00765476"/>
    <w:rsid w:val="0076570B"/>
    <w:rsid w:val="007657E6"/>
    <w:rsid w:val="00772B80"/>
    <w:rsid w:val="00780C90"/>
    <w:rsid w:val="00780DE5"/>
    <w:rsid w:val="00783EF5"/>
    <w:rsid w:val="00793747"/>
    <w:rsid w:val="00793902"/>
    <w:rsid w:val="007A08C9"/>
    <w:rsid w:val="007A1270"/>
    <w:rsid w:val="007A61BE"/>
    <w:rsid w:val="007A62A2"/>
    <w:rsid w:val="007B661C"/>
    <w:rsid w:val="007C03CF"/>
    <w:rsid w:val="007C0545"/>
    <w:rsid w:val="007C184C"/>
    <w:rsid w:val="007C7317"/>
    <w:rsid w:val="007D031D"/>
    <w:rsid w:val="007D2A66"/>
    <w:rsid w:val="007D47E3"/>
    <w:rsid w:val="007E114D"/>
    <w:rsid w:val="007E130B"/>
    <w:rsid w:val="007E76DC"/>
    <w:rsid w:val="007F17A7"/>
    <w:rsid w:val="007F79F5"/>
    <w:rsid w:val="008008CD"/>
    <w:rsid w:val="00802ABB"/>
    <w:rsid w:val="00805589"/>
    <w:rsid w:val="00814145"/>
    <w:rsid w:val="00814871"/>
    <w:rsid w:val="00823D06"/>
    <w:rsid w:val="00827833"/>
    <w:rsid w:val="0083083F"/>
    <w:rsid w:val="00842C2C"/>
    <w:rsid w:val="00844638"/>
    <w:rsid w:val="00845A19"/>
    <w:rsid w:val="00847485"/>
    <w:rsid w:val="00854856"/>
    <w:rsid w:val="00863A03"/>
    <w:rsid w:val="00864702"/>
    <w:rsid w:val="00876669"/>
    <w:rsid w:val="00883FE7"/>
    <w:rsid w:val="00887E07"/>
    <w:rsid w:val="008928FB"/>
    <w:rsid w:val="00896E7E"/>
    <w:rsid w:val="008A3384"/>
    <w:rsid w:val="008B10F6"/>
    <w:rsid w:val="008B4511"/>
    <w:rsid w:val="008E3AD1"/>
    <w:rsid w:val="008F2302"/>
    <w:rsid w:val="008F6D32"/>
    <w:rsid w:val="00910861"/>
    <w:rsid w:val="00913C38"/>
    <w:rsid w:val="00914C9A"/>
    <w:rsid w:val="0092169B"/>
    <w:rsid w:val="0092513C"/>
    <w:rsid w:val="009258C8"/>
    <w:rsid w:val="00931ABE"/>
    <w:rsid w:val="009349E7"/>
    <w:rsid w:val="00935A78"/>
    <w:rsid w:val="00936DB7"/>
    <w:rsid w:val="00937989"/>
    <w:rsid w:val="00941C5B"/>
    <w:rsid w:val="00943B9B"/>
    <w:rsid w:val="009440E9"/>
    <w:rsid w:val="00953BB3"/>
    <w:rsid w:val="00955BFB"/>
    <w:rsid w:val="00957658"/>
    <w:rsid w:val="0096307B"/>
    <w:rsid w:val="009641AD"/>
    <w:rsid w:val="00965736"/>
    <w:rsid w:val="00971BB3"/>
    <w:rsid w:val="0097753A"/>
    <w:rsid w:val="00983168"/>
    <w:rsid w:val="009849DD"/>
    <w:rsid w:val="00985A62"/>
    <w:rsid w:val="00986849"/>
    <w:rsid w:val="009931B0"/>
    <w:rsid w:val="00993B83"/>
    <w:rsid w:val="00993E99"/>
    <w:rsid w:val="009A231C"/>
    <w:rsid w:val="009A3836"/>
    <w:rsid w:val="009A5617"/>
    <w:rsid w:val="009B2ED3"/>
    <w:rsid w:val="009B5659"/>
    <w:rsid w:val="009B7FC5"/>
    <w:rsid w:val="009C5FC9"/>
    <w:rsid w:val="009C7D67"/>
    <w:rsid w:val="009D2242"/>
    <w:rsid w:val="009D519A"/>
    <w:rsid w:val="009D713C"/>
    <w:rsid w:val="009D71AF"/>
    <w:rsid w:val="009E365C"/>
    <w:rsid w:val="009E77A0"/>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6E2E"/>
    <w:rsid w:val="00AB7C86"/>
    <w:rsid w:val="00AC78C3"/>
    <w:rsid w:val="00AD177F"/>
    <w:rsid w:val="00AD2C42"/>
    <w:rsid w:val="00AE1A32"/>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2672"/>
    <w:rsid w:val="00B737BC"/>
    <w:rsid w:val="00B764DA"/>
    <w:rsid w:val="00B7692F"/>
    <w:rsid w:val="00B83018"/>
    <w:rsid w:val="00B84D40"/>
    <w:rsid w:val="00B86360"/>
    <w:rsid w:val="00B916E9"/>
    <w:rsid w:val="00B92D8A"/>
    <w:rsid w:val="00B92FED"/>
    <w:rsid w:val="00B9549D"/>
    <w:rsid w:val="00B95E5F"/>
    <w:rsid w:val="00B96D9D"/>
    <w:rsid w:val="00B97A1E"/>
    <w:rsid w:val="00BA19DA"/>
    <w:rsid w:val="00BA4554"/>
    <w:rsid w:val="00BA5774"/>
    <w:rsid w:val="00BA6DA7"/>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516A"/>
    <w:rsid w:val="00C6116B"/>
    <w:rsid w:val="00C6394C"/>
    <w:rsid w:val="00C65119"/>
    <w:rsid w:val="00C66B1D"/>
    <w:rsid w:val="00C7200A"/>
    <w:rsid w:val="00C72644"/>
    <w:rsid w:val="00C728D7"/>
    <w:rsid w:val="00C75D30"/>
    <w:rsid w:val="00C81847"/>
    <w:rsid w:val="00C81D0A"/>
    <w:rsid w:val="00C923A7"/>
    <w:rsid w:val="00C96EE9"/>
    <w:rsid w:val="00CA1250"/>
    <w:rsid w:val="00CA1CAD"/>
    <w:rsid w:val="00CA2BE6"/>
    <w:rsid w:val="00CA3645"/>
    <w:rsid w:val="00CA4BAD"/>
    <w:rsid w:val="00CA70B1"/>
    <w:rsid w:val="00CB7C80"/>
    <w:rsid w:val="00CD1907"/>
    <w:rsid w:val="00CE38D6"/>
    <w:rsid w:val="00CE3A91"/>
    <w:rsid w:val="00CE58FC"/>
    <w:rsid w:val="00CE7E57"/>
    <w:rsid w:val="00CF05C5"/>
    <w:rsid w:val="00CF2F6F"/>
    <w:rsid w:val="00CF74E4"/>
    <w:rsid w:val="00D03C2E"/>
    <w:rsid w:val="00D1697F"/>
    <w:rsid w:val="00D25DF2"/>
    <w:rsid w:val="00D436CA"/>
    <w:rsid w:val="00D636AC"/>
    <w:rsid w:val="00D63773"/>
    <w:rsid w:val="00D73524"/>
    <w:rsid w:val="00D7566E"/>
    <w:rsid w:val="00D8459F"/>
    <w:rsid w:val="00D85128"/>
    <w:rsid w:val="00D8526D"/>
    <w:rsid w:val="00D95963"/>
    <w:rsid w:val="00DB58CA"/>
    <w:rsid w:val="00DC04D3"/>
    <w:rsid w:val="00DC37D9"/>
    <w:rsid w:val="00DD320A"/>
    <w:rsid w:val="00DD3CA1"/>
    <w:rsid w:val="00DD448B"/>
    <w:rsid w:val="00DE53A4"/>
    <w:rsid w:val="00DF489E"/>
    <w:rsid w:val="00DF5A10"/>
    <w:rsid w:val="00DF6B01"/>
    <w:rsid w:val="00DF7405"/>
    <w:rsid w:val="00E1321C"/>
    <w:rsid w:val="00E13271"/>
    <w:rsid w:val="00E13E07"/>
    <w:rsid w:val="00E217C1"/>
    <w:rsid w:val="00E25266"/>
    <w:rsid w:val="00E30DF4"/>
    <w:rsid w:val="00E324A1"/>
    <w:rsid w:val="00E3394D"/>
    <w:rsid w:val="00E406AB"/>
    <w:rsid w:val="00E4129D"/>
    <w:rsid w:val="00E53896"/>
    <w:rsid w:val="00E57808"/>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3378"/>
    <w:rsid w:val="00EE7891"/>
    <w:rsid w:val="00EF0A80"/>
    <w:rsid w:val="00EF0FFD"/>
    <w:rsid w:val="00F00003"/>
    <w:rsid w:val="00F12950"/>
    <w:rsid w:val="00F14D7E"/>
    <w:rsid w:val="00F274BF"/>
    <w:rsid w:val="00F30DB7"/>
    <w:rsid w:val="00F44FBD"/>
    <w:rsid w:val="00F5167C"/>
    <w:rsid w:val="00F517EA"/>
    <w:rsid w:val="00F524E5"/>
    <w:rsid w:val="00F5411D"/>
    <w:rsid w:val="00F55E99"/>
    <w:rsid w:val="00F56656"/>
    <w:rsid w:val="00F5694E"/>
    <w:rsid w:val="00F61816"/>
    <w:rsid w:val="00F66576"/>
    <w:rsid w:val="00F668B3"/>
    <w:rsid w:val="00F674C0"/>
    <w:rsid w:val="00F73792"/>
    <w:rsid w:val="00F744AC"/>
    <w:rsid w:val="00F7571A"/>
    <w:rsid w:val="00F82B76"/>
    <w:rsid w:val="00F86827"/>
    <w:rsid w:val="00F968BE"/>
    <w:rsid w:val="00FA4686"/>
    <w:rsid w:val="00FA7F76"/>
    <w:rsid w:val="00FB2154"/>
    <w:rsid w:val="00FB23EF"/>
    <w:rsid w:val="00FD2A20"/>
    <w:rsid w:val="00FD7066"/>
    <w:rsid w:val="00FE1A75"/>
    <w:rsid w:val="00FE5A9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79D389"/>
  <w15:docId w15:val="{EC31BCA7-51D0-425F-9C7E-1E25F9F4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paragraph" w:customStyle="1" w:styleId="Default">
    <w:name w:val="Default"/>
    <w:rsid w:val="00FE5A9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33">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2843536">
      <w:bodyDiv w:val="1"/>
      <w:marLeft w:val="0"/>
      <w:marRight w:val="0"/>
      <w:marTop w:val="0"/>
      <w:marBottom w:val="0"/>
      <w:divBdr>
        <w:top w:val="none" w:sz="0" w:space="0" w:color="auto"/>
        <w:left w:val="none" w:sz="0" w:space="0" w:color="auto"/>
        <w:bottom w:val="none" w:sz="0" w:space="0" w:color="auto"/>
        <w:right w:val="none" w:sz="0" w:space="0" w:color="auto"/>
      </w:divBdr>
      <w:divsChild>
        <w:div w:id="690567967">
          <w:marLeft w:val="0"/>
          <w:marRight w:val="0"/>
          <w:marTop w:val="0"/>
          <w:marBottom w:val="0"/>
          <w:divBdr>
            <w:top w:val="none" w:sz="0" w:space="0" w:color="auto"/>
            <w:left w:val="none" w:sz="0" w:space="0" w:color="auto"/>
            <w:bottom w:val="none" w:sz="0" w:space="0" w:color="auto"/>
            <w:right w:val="none" w:sz="0" w:space="0" w:color="auto"/>
          </w:divBdr>
        </w:div>
        <w:div w:id="719979651">
          <w:marLeft w:val="0"/>
          <w:marRight w:val="0"/>
          <w:marTop w:val="0"/>
          <w:marBottom w:val="0"/>
          <w:divBdr>
            <w:top w:val="none" w:sz="0" w:space="0" w:color="auto"/>
            <w:left w:val="none" w:sz="0" w:space="0" w:color="auto"/>
            <w:bottom w:val="none" w:sz="0" w:space="0" w:color="auto"/>
            <w:right w:val="none" w:sz="0" w:space="0" w:color="auto"/>
          </w:divBdr>
        </w:div>
      </w:divsChild>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81889769">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76759151">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3BD7-5177-4261-A108-4E1A2BC3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6025</Words>
  <Characters>3435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Anete Skujina</cp:lastModifiedBy>
  <cp:revision>30</cp:revision>
  <cp:lastPrinted>2019-08-06T13:49:00Z</cp:lastPrinted>
  <dcterms:created xsi:type="dcterms:W3CDTF">2019-08-06T13:48:00Z</dcterms:created>
  <dcterms:modified xsi:type="dcterms:W3CDTF">2019-08-21T07:37:00Z</dcterms:modified>
</cp:coreProperties>
</file>