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4052" w14:textId="77777777" w:rsidR="00B4657F" w:rsidRPr="001D6E78" w:rsidRDefault="00B4657F" w:rsidP="00D313C5">
      <w:pPr>
        <w:widowControl w:val="0"/>
        <w:autoSpaceDE w:val="0"/>
        <w:autoSpaceDN w:val="0"/>
        <w:adjustRightInd w:val="0"/>
        <w:ind w:right="284"/>
        <w:jc w:val="right"/>
        <w:rPr>
          <w:rFonts w:ascii="Arial" w:hAnsi="Arial" w:cs="Arial"/>
          <w:b/>
          <w:bCs/>
          <w:sz w:val="20"/>
          <w:szCs w:val="20"/>
        </w:rPr>
      </w:pPr>
      <w:r w:rsidRPr="001D6E78">
        <w:rPr>
          <w:rFonts w:ascii="Arial" w:hAnsi="Arial" w:cs="Arial"/>
          <w:b/>
          <w:bCs/>
          <w:sz w:val="20"/>
          <w:szCs w:val="20"/>
        </w:rPr>
        <w:t>APSTIPRINĀTS</w:t>
      </w:r>
    </w:p>
    <w:p w14:paraId="127D41D7" w14:textId="77777777" w:rsidR="00B4657F" w:rsidRPr="001D6E78" w:rsidRDefault="00B4657F" w:rsidP="00D313C5">
      <w:pPr>
        <w:widowControl w:val="0"/>
        <w:autoSpaceDE w:val="0"/>
        <w:autoSpaceDN w:val="0"/>
        <w:adjustRightInd w:val="0"/>
        <w:ind w:right="284"/>
        <w:jc w:val="right"/>
        <w:rPr>
          <w:rFonts w:ascii="Arial" w:hAnsi="Arial" w:cs="Arial"/>
          <w:bCs/>
          <w:sz w:val="20"/>
          <w:szCs w:val="20"/>
        </w:rPr>
      </w:pPr>
      <w:r w:rsidRPr="001D6E78">
        <w:rPr>
          <w:rFonts w:ascii="Arial" w:hAnsi="Arial" w:cs="Arial"/>
          <w:bCs/>
          <w:sz w:val="20"/>
          <w:szCs w:val="20"/>
        </w:rPr>
        <w:t>Liepājas pilsētas domes Iepirkumu komisijas</w:t>
      </w:r>
    </w:p>
    <w:p w14:paraId="6C6E80E3" w14:textId="43B314BA" w:rsidR="0070791A" w:rsidRPr="00E23C0B" w:rsidRDefault="00B4657F" w:rsidP="00D313C5">
      <w:pPr>
        <w:widowControl w:val="0"/>
        <w:autoSpaceDE w:val="0"/>
        <w:autoSpaceDN w:val="0"/>
        <w:adjustRightInd w:val="0"/>
        <w:ind w:right="284"/>
        <w:jc w:val="right"/>
        <w:rPr>
          <w:rFonts w:ascii="Arial" w:hAnsi="Arial" w:cs="Arial"/>
          <w:bCs/>
          <w:sz w:val="20"/>
          <w:szCs w:val="20"/>
        </w:rPr>
      </w:pPr>
      <w:r w:rsidRPr="001D6E78">
        <w:rPr>
          <w:rFonts w:ascii="Arial" w:hAnsi="Arial" w:cs="Arial"/>
          <w:bCs/>
          <w:sz w:val="20"/>
          <w:szCs w:val="20"/>
        </w:rPr>
        <w:t xml:space="preserve"> 201</w:t>
      </w:r>
      <w:r w:rsidR="00D11170">
        <w:rPr>
          <w:rFonts w:ascii="Arial" w:hAnsi="Arial" w:cs="Arial"/>
          <w:bCs/>
          <w:sz w:val="20"/>
          <w:szCs w:val="20"/>
        </w:rPr>
        <w:t>9</w:t>
      </w:r>
      <w:r w:rsidRPr="001D6E78">
        <w:rPr>
          <w:rFonts w:ascii="Arial" w:hAnsi="Arial" w:cs="Arial"/>
          <w:bCs/>
          <w:sz w:val="20"/>
          <w:szCs w:val="20"/>
        </w:rPr>
        <w:t>.gada</w:t>
      </w:r>
      <w:r w:rsidR="00B379B5">
        <w:rPr>
          <w:rFonts w:ascii="Arial" w:hAnsi="Arial" w:cs="Arial"/>
          <w:bCs/>
          <w:sz w:val="20"/>
          <w:szCs w:val="20"/>
        </w:rPr>
        <w:t xml:space="preserve"> </w:t>
      </w:r>
      <w:r w:rsidR="00DD4878">
        <w:rPr>
          <w:rFonts w:ascii="Arial" w:hAnsi="Arial" w:cs="Arial"/>
          <w:bCs/>
          <w:sz w:val="20"/>
          <w:szCs w:val="20"/>
        </w:rPr>
        <w:t>12.jūnija</w:t>
      </w:r>
      <w:r w:rsidR="006922BF">
        <w:rPr>
          <w:rFonts w:ascii="Arial" w:hAnsi="Arial" w:cs="Arial"/>
          <w:bCs/>
          <w:sz w:val="20"/>
          <w:szCs w:val="20"/>
        </w:rPr>
        <w:t xml:space="preserve"> </w:t>
      </w:r>
      <w:r w:rsidRPr="001D6E78">
        <w:rPr>
          <w:rFonts w:ascii="Arial" w:hAnsi="Arial" w:cs="Arial"/>
          <w:bCs/>
          <w:sz w:val="20"/>
          <w:szCs w:val="20"/>
        </w:rPr>
        <w:t>sēdē, protokols Nr.</w:t>
      </w:r>
      <w:r w:rsidR="0056331F">
        <w:rPr>
          <w:rFonts w:ascii="Arial" w:hAnsi="Arial" w:cs="Arial"/>
          <w:bCs/>
          <w:sz w:val="20"/>
          <w:szCs w:val="20"/>
        </w:rPr>
        <w:t>2</w:t>
      </w:r>
      <w:r w:rsidRPr="00B4657F">
        <w:rPr>
          <w:rFonts w:ascii="Arial" w:hAnsi="Arial" w:cs="Arial"/>
          <w:bCs/>
          <w:sz w:val="20"/>
          <w:szCs w:val="20"/>
        </w:rPr>
        <w:t xml:space="preserve"> </w:t>
      </w:r>
    </w:p>
    <w:p w14:paraId="2D350486" w14:textId="77777777" w:rsidR="0070791A" w:rsidRDefault="0070791A" w:rsidP="00E54436">
      <w:pPr>
        <w:ind w:right="-710"/>
        <w:jc w:val="both"/>
        <w:rPr>
          <w:rFonts w:ascii="Arial" w:hAnsi="Arial" w:cs="Arial"/>
          <w:b/>
          <w:sz w:val="20"/>
          <w:szCs w:val="20"/>
          <w:lang w:eastAsia="en-US"/>
        </w:rPr>
      </w:pPr>
    </w:p>
    <w:p w14:paraId="5E8A7A74" w14:textId="75458696" w:rsidR="00B4657F" w:rsidRPr="00E23C0B" w:rsidRDefault="00B4657F" w:rsidP="00D313C5">
      <w:pPr>
        <w:autoSpaceDE w:val="0"/>
        <w:autoSpaceDN w:val="0"/>
        <w:adjustRightInd w:val="0"/>
        <w:ind w:right="284"/>
        <w:jc w:val="both"/>
        <w:rPr>
          <w:rFonts w:ascii="Arial" w:hAnsi="Arial" w:cs="Arial"/>
          <w:b/>
          <w:sz w:val="20"/>
          <w:szCs w:val="20"/>
          <w:u w:val="single"/>
        </w:rPr>
      </w:pPr>
      <w:r w:rsidRPr="00E23C0B">
        <w:rPr>
          <w:rFonts w:ascii="Arial" w:hAnsi="Arial" w:cs="Arial"/>
          <w:b/>
          <w:sz w:val="20"/>
          <w:szCs w:val="20"/>
          <w:lang w:eastAsia="en-US"/>
        </w:rPr>
        <w:t xml:space="preserve">Par </w:t>
      </w:r>
      <w:r w:rsidR="00D11170" w:rsidRPr="00E23C0B">
        <w:rPr>
          <w:rFonts w:ascii="Arial" w:hAnsi="Arial" w:cs="Arial"/>
          <w:b/>
          <w:sz w:val="20"/>
          <w:szCs w:val="20"/>
          <w:lang w:eastAsia="en-US"/>
        </w:rPr>
        <w:t>iepirkuma</w:t>
      </w:r>
      <w:r w:rsidRPr="00E23C0B">
        <w:rPr>
          <w:rFonts w:ascii="Arial" w:hAnsi="Arial" w:cs="Arial"/>
          <w:b/>
          <w:sz w:val="20"/>
          <w:szCs w:val="20"/>
          <w:lang w:eastAsia="en-US"/>
        </w:rPr>
        <w:t xml:space="preserve"> </w:t>
      </w:r>
      <w:bookmarkStart w:id="0" w:name="_Hlk3990223"/>
      <w:r w:rsidRPr="00E23C0B">
        <w:rPr>
          <w:rFonts w:ascii="Arial" w:eastAsia="Calibri" w:hAnsi="Arial" w:cs="Arial"/>
          <w:b/>
          <w:i/>
          <w:sz w:val="20"/>
          <w:szCs w:val="20"/>
          <w:lang w:eastAsia="en-US"/>
        </w:rPr>
        <w:t>“</w:t>
      </w:r>
      <w:r w:rsidR="00DD4878" w:rsidRPr="00DD4878">
        <w:rPr>
          <w:rFonts w:ascii="Arial" w:hAnsi="Arial" w:cs="Arial"/>
          <w:b/>
          <w:sz w:val="20"/>
          <w:szCs w:val="20"/>
          <w:u w:val="single"/>
        </w:rPr>
        <w:t>Ēdināšanas pakalpojuma nodrošināšana Liepājas Raiņa 6.vidusskolas izglītojamiem atbilstoši Zaļā publiskā iepirkuma kritērijiem</w:t>
      </w:r>
      <w:r w:rsidR="00BE0445" w:rsidRPr="00E23C0B">
        <w:rPr>
          <w:rFonts w:ascii="Arial" w:eastAsia="Calibri" w:hAnsi="Arial" w:cs="Arial"/>
          <w:b/>
          <w:i/>
          <w:sz w:val="20"/>
          <w:szCs w:val="20"/>
          <w:lang w:eastAsia="en-US"/>
        </w:rPr>
        <w:t xml:space="preserve">” </w:t>
      </w:r>
      <w:r w:rsidRPr="00E23C0B">
        <w:rPr>
          <w:rFonts w:ascii="Arial" w:eastAsia="Calibri" w:hAnsi="Arial" w:cs="Arial"/>
          <w:bCs/>
          <w:sz w:val="20"/>
          <w:szCs w:val="20"/>
          <w:lang w:eastAsia="en-US"/>
        </w:rPr>
        <w:t>(LPP 201</w:t>
      </w:r>
      <w:r w:rsidR="00E54436" w:rsidRPr="00E23C0B">
        <w:rPr>
          <w:rFonts w:ascii="Arial" w:eastAsia="Calibri" w:hAnsi="Arial" w:cs="Arial"/>
          <w:bCs/>
          <w:sz w:val="20"/>
          <w:szCs w:val="20"/>
          <w:lang w:eastAsia="en-US"/>
        </w:rPr>
        <w:t>9</w:t>
      </w:r>
      <w:r w:rsidR="00537B5A" w:rsidRPr="00E23C0B">
        <w:rPr>
          <w:rFonts w:ascii="Arial" w:eastAsia="Calibri" w:hAnsi="Arial" w:cs="Arial"/>
          <w:bCs/>
          <w:sz w:val="20"/>
          <w:szCs w:val="20"/>
          <w:lang w:eastAsia="en-US"/>
        </w:rPr>
        <w:t>/</w:t>
      </w:r>
      <w:r w:rsidR="00DD4878">
        <w:rPr>
          <w:rFonts w:ascii="Arial" w:eastAsia="Calibri" w:hAnsi="Arial" w:cs="Arial"/>
          <w:bCs/>
          <w:sz w:val="20"/>
          <w:szCs w:val="20"/>
          <w:lang w:eastAsia="en-US"/>
        </w:rPr>
        <w:t>64</w:t>
      </w:r>
      <w:r w:rsidRPr="00E23C0B">
        <w:rPr>
          <w:rFonts w:ascii="Arial" w:eastAsia="Calibri" w:hAnsi="Arial" w:cs="Arial"/>
          <w:bCs/>
          <w:sz w:val="20"/>
          <w:szCs w:val="20"/>
          <w:lang w:eastAsia="en-US"/>
        </w:rPr>
        <w:t xml:space="preserve">) </w:t>
      </w:r>
      <w:bookmarkEnd w:id="0"/>
      <w:r w:rsidRPr="00E23C0B">
        <w:rPr>
          <w:rFonts w:ascii="Arial" w:hAnsi="Arial" w:cs="Arial"/>
          <w:b/>
          <w:sz w:val="20"/>
          <w:szCs w:val="20"/>
          <w:lang w:eastAsia="en-US"/>
        </w:rPr>
        <w:t>nolikuma skaidrojumiem</w:t>
      </w:r>
      <w:r w:rsidR="00051DC2" w:rsidRPr="00E23C0B">
        <w:rPr>
          <w:rFonts w:ascii="Arial" w:hAnsi="Arial" w:cs="Arial"/>
          <w:b/>
          <w:sz w:val="20"/>
          <w:szCs w:val="20"/>
          <w:lang w:eastAsia="en-US"/>
        </w:rPr>
        <w:t>.</w:t>
      </w:r>
      <w:bookmarkStart w:id="1" w:name="_GoBack"/>
      <w:bookmarkEnd w:id="1"/>
    </w:p>
    <w:p w14:paraId="1C6AC12D" w14:textId="77777777" w:rsidR="00FA7F76" w:rsidRPr="00B4657F" w:rsidRDefault="00FA7F76" w:rsidP="00B4657F">
      <w:pPr>
        <w:ind w:right="-143"/>
        <w:jc w:val="both"/>
        <w:rPr>
          <w:rFonts w:ascii="Arial" w:eastAsia="Calibri" w:hAnsi="Arial" w:cs="Arial"/>
          <w:bCs/>
          <w:sz w:val="20"/>
          <w:szCs w:val="20"/>
          <w:lang w:eastAsia="en-US"/>
        </w:rPr>
      </w:pPr>
    </w:p>
    <w:tbl>
      <w:tblPr>
        <w:tblW w:w="9322" w:type="dxa"/>
        <w:tblLayout w:type="fixed"/>
        <w:tblLook w:val="0000" w:firstRow="0" w:lastRow="0" w:firstColumn="0" w:lastColumn="0" w:noHBand="0" w:noVBand="0"/>
      </w:tblPr>
      <w:tblGrid>
        <w:gridCol w:w="1809"/>
        <w:gridCol w:w="1276"/>
        <w:gridCol w:w="1134"/>
        <w:gridCol w:w="2097"/>
        <w:gridCol w:w="1622"/>
        <w:gridCol w:w="1384"/>
      </w:tblGrid>
      <w:tr w:rsidR="00B4657F" w:rsidRPr="00F465E9" w14:paraId="739E0F99" w14:textId="77777777" w:rsidTr="004A0F85">
        <w:tc>
          <w:tcPr>
            <w:tcW w:w="9322" w:type="dxa"/>
            <w:gridSpan w:val="6"/>
            <w:shd w:val="clear" w:color="auto" w:fill="CCFFCC"/>
          </w:tcPr>
          <w:p w14:paraId="0188AE94" w14:textId="77777777" w:rsidR="00B4657F" w:rsidRPr="00DC52B1" w:rsidRDefault="00B4657F" w:rsidP="00B4657F">
            <w:pPr>
              <w:autoSpaceDE w:val="0"/>
              <w:autoSpaceDN w:val="0"/>
              <w:adjustRightInd w:val="0"/>
              <w:jc w:val="both"/>
              <w:rPr>
                <w:rFonts w:ascii="Arial" w:hAnsi="Arial" w:cs="Arial"/>
                <w:sz w:val="12"/>
                <w:szCs w:val="12"/>
                <w:lang w:eastAsia="en-US"/>
              </w:rPr>
            </w:pPr>
            <w:bookmarkStart w:id="2" w:name="_Hlk500400723"/>
            <w:bookmarkStart w:id="3" w:name="_Hlk507760749"/>
            <w:bookmarkStart w:id="4" w:name="_Hlk507761961"/>
            <w:bookmarkStart w:id="5" w:name="_Hlk534810409"/>
          </w:p>
        </w:tc>
      </w:tr>
      <w:tr w:rsidR="00D7301C" w:rsidRPr="00F465E9" w14:paraId="19127C28" w14:textId="77777777" w:rsidTr="004A0F85">
        <w:trPr>
          <w:trHeight w:val="739"/>
        </w:trPr>
        <w:tc>
          <w:tcPr>
            <w:tcW w:w="1809" w:type="dxa"/>
          </w:tcPr>
          <w:p w14:paraId="04E668FF" w14:textId="6686F913" w:rsidR="00D7301C" w:rsidRPr="0016301D" w:rsidRDefault="00D7301C" w:rsidP="00B4657F">
            <w:pPr>
              <w:spacing w:before="80" w:after="80"/>
              <w:rPr>
                <w:rFonts w:ascii="Arial" w:hAnsi="Arial" w:cs="Arial"/>
                <w:b/>
                <w:bCs/>
                <w:sz w:val="21"/>
                <w:szCs w:val="21"/>
                <w:lang w:eastAsia="en-US"/>
              </w:rPr>
            </w:pPr>
            <w:bookmarkStart w:id="6" w:name="_Hlk503429744"/>
            <w:r w:rsidRPr="00D7301C">
              <w:rPr>
                <w:rFonts w:ascii="Arial" w:hAnsi="Arial" w:cs="Arial"/>
                <w:b/>
                <w:bCs/>
                <w:sz w:val="21"/>
                <w:szCs w:val="21"/>
                <w:lang w:eastAsia="en-US"/>
              </w:rPr>
              <w:t>Skaidrojums</w:t>
            </w:r>
            <w:r w:rsidR="00DD4878">
              <w:rPr>
                <w:rFonts w:ascii="Arial" w:hAnsi="Arial" w:cs="Arial"/>
                <w:b/>
                <w:bCs/>
                <w:sz w:val="21"/>
                <w:szCs w:val="21"/>
                <w:lang w:eastAsia="en-US"/>
              </w:rPr>
              <w:t xml:space="preserve"> 1</w:t>
            </w:r>
          </w:p>
        </w:tc>
        <w:tc>
          <w:tcPr>
            <w:tcW w:w="7513" w:type="dxa"/>
            <w:gridSpan w:val="5"/>
          </w:tcPr>
          <w:p w14:paraId="1D4ABD7F" w14:textId="69060771" w:rsidR="00DD4878" w:rsidRDefault="00DD4878" w:rsidP="00DD4878">
            <w:pPr>
              <w:tabs>
                <w:tab w:val="left" w:pos="851"/>
              </w:tabs>
              <w:spacing w:beforeLines="20" w:before="48" w:afterLines="20" w:after="48"/>
              <w:jc w:val="both"/>
              <w:rPr>
                <w:rFonts w:ascii="Arial" w:hAnsi="Arial" w:cs="Arial"/>
                <w:sz w:val="20"/>
                <w:szCs w:val="20"/>
              </w:rPr>
            </w:pPr>
            <w:r>
              <w:rPr>
                <w:rFonts w:ascii="Arial" w:hAnsi="Arial" w:cs="Arial"/>
                <w:color w:val="000000"/>
                <w:sz w:val="20"/>
                <w:szCs w:val="20"/>
                <w:lang w:eastAsia="en-US"/>
              </w:rPr>
              <w:t>Nolikuma 4.5. c) punktā noteikts, ka pretendentam jāiesniedz</w:t>
            </w:r>
            <w:r w:rsidRPr="00A27936">
              <w:rPr>
                <w:rFonts w:ascii="Arial" w:hAnsi="Arial" w:cs="Arial"/>
                <w:sz w:val="20"/>
                <w:szCs w:val="20"/>
              </w:rPr>
              <w:t xml:space="preserve"> komplekso pusdienu </w:t>
            </w:r>
            <w:r w:rsidRPr="008C2CAA">
              <w:rPr>
                <w:rFonts w:ascii="Arial" w:hAnsi="Arial" w:cs="Arial"/>
                <w:sz w:val="20"/>
                <w:szCs w:val="20"/>
                <w:u w:val="single"/>
              </w:rPr>
              <w:t>vienai nedēļai</w:t>
            </w:r>
            <w:r w:rsidRPr="00A27936">
              <w:rPr>
                <w:rFonts w:ascii="Arial" w:hAnsi="Arial" w:cs="Arial"/>
                <w:sz w:val="20"/>
                <w:szCs w:val="20"/>
              </w:rPr>
              <w:t xml:space="preserve"> ēdienkarte </w:t>
            </w:r>
            <w:r w:rsidRPr="004A2F97">
              <w:rPr>
                <w:rFonts w:ascii="Arial" w:hAnsi="Arial" w:cs="Arial"/>
                <w:b/>
                <w:sz w:val="20"/>
                <w:szCs w:val="20"/>
              </w:rPr>
              <w:t xml:space="preserve">5.–9.klašu </w:t>
            </w:r>
            <w:r>
              <w:rPr>
                <w:rFonts w:ascii="Arial" w:hAnsi="Arial" w:cs="Arial"/>
                <w:b/>
                <w:sz w:val="20"/>
                <w:szCs w:val="20"/>
              </w:rPr>
              <w:t xml:space="preserve">izglītojamiem ar </w:t>
            </w:r>
            <w:proofErr w:type="spellStart"/>
            <w:r>
              <w:rPr>
                <w:rFonts w:ascii="Arial" w:hAnsi="Arial" w:cs="Arial"/>
                <w:b/>
                <w:sz w:val="20"/>
                <w:szCs w:val="20"/>
              </w:rPr>
              <w:t>celiakiju</w:t>
            </w:r>
            <w:proofErr w:type="spellEnd"/>
            <w:r>
              <w:rPr>
                <w:rFonts w:ascii="Arial" w:hAnsi="Arial" w:cs="Arial"/>
                <w:sz w:val="20"/>
                <w:szCs w:val="20"/>
              </w:rPr>
              <w:t xml:space="preserve"> (diētai) pavasara sezonai aprīļa</w:t>
            </w:r>
            <w:r w:rsidRPr="00A27936">
              <w:rPr>
                <w:rFonts w:ascii="Arial" w:hAnsi="Arial" w:cs="Arial"/>
                <w:sz w:val="20"/>
                <w:szCs w:val="20"/>
              </w:rPr>
              <w:t xml:space="preserve"> mēnesī</w:t>
            </w:r>
            <w:r>
              <w:rPr>
                <w:rFonts w:ascii="Arial" w:hAnsi="Arial" w:cs="Arial"/>
                <w:sz w:val="20"/>
                <w:szCs w:val="20"/>
              </w:rPr>
              <w:t>.</w:t>
            </w:r>
          </w:p>
          <w:p w14:paraId="21F32C8A" w14:textId="77777777" w:rsidR="00782E20" w:rsidRDefault="00DD4878" w:rsidP="00A368DA">
            <w:pPr>
              <w:tabs>
                <w:tab w:val="left" w:pos="851"/>
              </w:tabs>
              <w:spacing w:beforeLines="20" w:before="48" w:afterLines="20" w:after="48"/>
              <w:jc w:val="both"/>
              <w:rPr>
                <w:rFonts w:ascii="Arial" w:hAnsi="Arial" w:cs="Arial"/>
                <w:sz w:val="20"/>
                <w:szCs w:val="20"/>
              </w:rPr>
            </w:pPr>
            <w:r>
              <w:rPr>
                <w:rFonts w:ascii="Arial" w:hAnsi="Arial" w:cs="Arial"/>
                <w:sz w:val="20"/>
                <w:szCs w:val="20"/>
              </w:rPr>
              <w:t xml:space="preserve">Ēdināšanas pakalpojumu </w:t>
            </w:r>
            <w:r w:rsidRPr="00DD4878">
              <w:rPr>
                <w:rFonts w:ascii="Arial" w:hAnsi="Arial" w:cs="Arial"/>
                <w:sz w:val="20"/>
                <w:szCs w:val="20"/>
              </w:rPr>
              <w:t>publiskajā iepirkumā</w:t>
            </w:r>
            <w:r>
              <w:rPr>
                <w:rFonts w:ascii="Arial" w:hAnsi="Arial" w:cs="Arial"/>
                <w:sz w:val="20"/>
                <w:szCs w:val="20"/>
              </w:rPr>
              <w:t xml:space="preserve"> </w:t>
            </w:r>
            <w:r w:rsidRPr="00DD4878">
              <w:rPr>
                <w:rFonts w:ascii="Arial" w:hAnsi="Arial" w:cs="Arial"/>
                <w:sz w:val="20"/>
                <w:szCs w:val="20"/>
              </w:rPr>
              <w:t>Zaļ</w:t>
            </w:r>
            <w:r>
              <w:rPr>
                <w:rFonts w:ascii="Arial" w:hAnsi="Arial" w:cs="Arial"/>
                <w:sz w:val="20"/>
                <w:szCs w:val="20"/>
              </w:rPr>
              <w:t>ā</w:t>
            </w:r>
            <w:r w:rsidRPr="00DD4878">
              <w:rPr>
                <w:rFonts w:ascii="Arial" w:hAnsi="Arial" w:cs="Arial"/>
                <w:sz w:val="20"/>
                <w:szCs w:val="20"/>
              </w:rPr>
              <w:t xml:space="preserve"> publisk</w:t>
            </w:r>
            <w:r>
              <w:rPr>
                <w:rFonts w:ascii="Arial" w:hAnsi="Arial" w:cs="Arial"/>
                <w:sz w:val="20"/>
                <w:szCs w:val="20"/>
              </w:rPr>
              <w:t>ā</w:t>
            </w:r>
            <w:r w:rsidRPr="00DD4878">
              <w:rPr>
                <w:rFonts w:ascii="Arial" w:hAnsi="Arial" w:cs="Arial"/>
                <w:sz w:val="20"/>
                <w:szCs w:val="20"/>
              </w:rPr>
              <w:t xml:space="preserve"> iepirkum</w:t>
            </w:r>
            <w:r>
              <w:rPr>
                <w:rFonts w:ascii="Arial" w:hAnsi="Arial" w:cs="Arial"/>
                <w:sz w:val="20"/>
                <w:szCs w:val="20"/>
              </w:rPr>
              <w:t>a (turpmāk tekstā –</w:t>
            </w:r>
            <w:r w:rsidRPr="00DD4878">
              <w:rPr>
                <w:rFonts w:ascii="Arial" w:hAnsi="Arial" w:cs="Arial"/>
                <w:sz w:val="20"/>
                <w:szCs w:val="20"/>
              </w:rPr>
              <w:t xml:space="preserve"> ZPI</w:t>
            </w:r>
            <w:r>
              <w:rPr>
                <w:rFonts w:ascii="Arial" w:hAnsi="Arial" w:cs="Arial"/>
                <w:sz w:val="20"/>
                <w:szCs w:val="20"/>
              </w:rPr>
              <w:t>)</w:t>
            </w:r>
            <w:r w:rsidRPr="00DD4878">
              <w:rPr>
                <w:rFonts w:ascii="Arial" w:hAnsi="Arial" w:cs="Arial"/>
                <w:sz w:val="20"/>
                <w:szCs w:val="20"/>
              </w:rPr>
              <w:t xml:space="preserve"> prasību piemērošana ir obligāta, to nosaka Ministru kabineta 2017. gada 20.jūnija noteikumi Nr. 353 „Prasības zaļajam publiskajam iepirkumam un tā piemērošanas kārtība". </w:t>
            </w:r>
            <w:r>
              <w:rPr>
                <w:rFonts w:ascii="Arial" w:hAnsi="Arial" w:cs="Arial"/>
                <w:sz w:val="20"/>
                <w:szCs w:val="20"/>
              </w:rPr>
              <w:t xml:space="preserve"> </w:t>
            </w:r>
          </w:p>
          <w:p w14:paraId="6E9275A7" w14:textId="3934E169" w:rsidR="00782E20" w:rsidRPr="00782E20" w:rsidRDefault="00782E20" w:rsidP="00782E20">
            <w:pPr>
              <w:spacing w:before="20" w:after="20"/>
              <w:jc w:val="both"/>
              <w:rPr>
                <w:rFonts w:ascii="Arial" w:eastAsia="Calibri" w:hAnsi="Arial" w:cs="Arial"/>
                <w:bCs/>
                <w:sz w:val="20"/>
                <w:szCs w:val="20"/>
                <w:lang w:eastAsia="ar-SA"/>
              </w:rPr>
            </w:pPr>
            <w:r>
              <w:rPr>
                <w:rFonts w:ascii="Arial" w:hAnsi="Arial" w:cs="Arial"/>
                <w:color w:val="000000"/>
                <w:sz w:val="20"/>
                <w:szCs w:val="20"/>
                <w:lang w:eastAsia="en-US"/>
              </w:rPr>
              <w:t xml:space="preserve">Nolikuma 17.pielikuma “Līgumprojekts” 4.20 punktā noteikts </w:t>
            </w:r>
            <w:r w:rsidRPr="00D97CCF">
              <w:rPr>
                <w:rFonts w:ascii="Arial" w:hAnsi="Arial" w:cs="Arial"/>
                <w:color w:val="000000"/>
                <w:sz w:val="20"/>
                <w:szCs w:val="20"/>
                <w:lang w:eastAsia="en-US"/>
              </w:rPr>
              <w:t>“</w:t>
            </w:r>
            <w:r w:rsidRPr="00D97CCF">
              <w:rPr>
                <w:rFonts w:ascii="Arial" w:eastAsia="Calibri" w:hAnsi="Arial" w:cs="Arial"/>
                <w:i/>
                <w:iCs/>
                <w:sz w:val="20"/>
                <w:szCs w:val="20"/>
              </w:rPr>
              <w:t xml:space="preserve">PAKALPOJUMA SNIEDZĒJAM visā </w:t>
            </w:r>
            <w:r w:rsidRPr="00D97CCF">
              <w:rPr>
                <w:rFonts w:ascii="Arial" w:eastAsia="Calibri" w:hAnsi="Arial" w:cs="Arial"/>
                <w:i/>
                <w:iCs/>
                <w:sz w:val="20"/>
                <w:szCs w:val="20"/>
                <w:u w:val="single"/>
              </w:rPr>
              <w:t>līguma izpildes laikā</w:t>
            </w:r>
            <w:r w:rsidRPr="00D97CCF">
              <w:rPr>
                <w:rFonts w:ascii="Arial" w:eastAsia="Calibri" w:hAnsi="Arial" w:cs="Arial"/>
                <w:bCs/>
                <w:i/>
                <w:iCs/>
                <w:sz w:val="20"/>
                <w:szCs w:val="20"/>
                <w:u w:val="single"/>
                <w:lang w:eastAsia="ar-SA"/>
              </w:rPr>
              <w:t xml:space="preserve"> 100 </w:t>
            </w:r>
            <w:r w:rsidRPr="00D97CCF">
              <w:rPr>
                <w:rFonts w:ascii="Arial" w:eastAsia="Calibri" w:hAnsi="Arial" w:cs="Arial"/>
                <w:i/>
                <w:iCs/>
                <w:sz w:val="20"/>
                <w:szCs w:val="20"/>
                <w:u w:val="single"/>
              </w:rPr>
              <w:t xml:space="preserve">% (simts procentu) apmērā </w:t>
            </w:r>
            <w:r w:rsidRPr="00D97CCF">
              <w:rPr>
                <w:rFonts w:ascii="Arial" w:eastAsia="Calibri" w:hAnsi="Arial" w:cs="Arial"/>
                <w:bCs/>
                <w:i/>
                <w:iCs/>
                <w:sz w:val="20"/>
                <w:szCs w:val="20"/>
                <w:u w:val="single"/>
                <w:lang w:eastAsia="ar-SA"/>
              </w:rPr>
              <w:t xml:space="preserve"> </w:t>
            </w:r>
            <w:r w:rsidRPr="00D97CCF">
              <w:rPr>
                <w:rFonts w:ascii="Arial" w:eastAsia="Calibri" w:hAnsi="Arial" w:cs="Arial"/>
                <w:i/>
                <w:iCs/>
                <w:sz w:val="20"/>
                <w:szCs w:val="20"/>
                <w:u w:val="single"/>
              </w:rPr>
              <w:t>ir saistoša informācija atbilstoši PAKALPOJUMA SNIEDZĒJA iesniegtajam piedāvājumam</w:t>
            </w:r>
            <w:r w:rsidRPr="00D97CCF">
              <w:rPr>
                <w:rFonts w:ascii="Arial" w:eastAsia="Calibri" w:hAnsi="Arial" w:cs="Arial"/>
                <w:i/>
                <w:iCs/>
                <w:sz w:val="20"/>
                <w:szCs w:val="20"/>
              </w:rPr>
              <w:t xml:space="preserve"> iepirkumā</w:t>
            </w:r>
            <w:r w:rsidRPr="00D97CCF">
              <w:rPr>
                <w:rFonts w:ascii="Arial" w:eastAsia="Calibri" w:hAnsi="Arial" w:cs="Arial"/>
                <w:bCs/>
                <w:i/>
                <w:iCs/>
                <w:sz w:val="20"/>
                <w:szCs w:val="20"/>
                <w:lang w:eastAsia="ar-SA"/>
              </w:rPr>
              <w:t xml:space="preserve"> (līguma 7.pielikums), attiecībā par </w:t>
            </w:r>
            <w:r w:rsidRPr="00D97CCF">
              <w:rPr>
                <w:i/>
                <w:iCs/>
              </w:rPr>
              <w:t xml:space="preserve"> </w:t>
            </w:r>
            <w:r w:rsidRPr="00D97CCF">
              <w:rPr>
                <w:rFonts w:ascii="Arial" w:eastAsia="Calibri" w:hAnsi="Arial" w:cs="Arial"/>
                <w:i/>
                <w:iCs/>
                <w:sz w:val="20"/>
                <w:szCs w:val="20"/>
              </w:rPr>
              <w:t xml:space="preserve">bioloģiskās lauksaimniecības shēmas (BLS), nacionālās pārtikas kvalitātes shēmas (NPKS) vai lauksaimniecības produktu integrētās audzēšanas (LPIA) prasībām atbilstošo produktu piegādi no norādītā audzētāja/ražotāja un attiecībā uz Tabulā norādīto piegādes attālumu, to nepārsniedzot. </w:t>
            </w:r>
            <w:r w:rsidRPr="00D97CCF">
              <w:rPr>
                <w:rFonts w:ascii="Arial" w:eastAsia="Calibri" w:hAnsi="Arial" w:cs="Arial"/>
                <w:bCs/>
                <w:i/>
                <w:iCs/>
                <w:sz w:val="20"/>
                <w:szCs w:val="20"/>
                <w:lang w:eastAsia="ar-SA"/>
              </w:rPr>
              <w:t>Tabulas 1.produktu grupā norādītie produkti jāpiegādā Tabulā norādītajā attālumā no norādītā audzētāja/ražotāja tajā periodā, kad šie produkti pieejami atbilstoši sezonai (gadalaikam un norādītajam mēnesim) saskaņā ar Zemkopības ministrijas izstrādāto vietējo augļu, ogu un dārzeņu pieejamības kalendāru, kurš publicēts Iepirkumu uzraudzības biroja mājaslapā</w:t>
            </w:r>
            <w:r w:rsidRPr="00D97CCF">
              <w:rPr>
                <w:rFonts w:ascii="Arial" w:eastAsia="Calibri" w:hAnsi="Arial" w:cs="Arial"/>
                <w:bCs/>
                <w:sz w:val="20"/>
                <w:szCs w:val="20"/>
                <w:lang w:eastAsia="ar-SA"/>
              </w:rPr>
              <w:t>”</w:t>
            </w:r>
            <w:r>
              <w:rPr>
                <w:rFonts w:ascii="Arial" w:eastAsia="Calibri" w:hAnsi="Arial" w:cs="Arial"/>
                <w:bCs/>
                <w:sz w:val="20"/>
                <w:szCs w:val="20"/>
                <w:lang w:eastAsia="ar-SA"/>
              </w:rPr>
              <w:t>.</w:t>
            </w:r>
          </w:p>
          <w:p w14:paraId="6C811F16" w14:textId="4CC7E76A" w:rsidR="00882B86" w:rsidRDefault="00782E20" w:rsidP="00A368DA">
            <w:pPr>
              <w:tabs>
                <w:tab w:val="left" w:pos="851"/>
              </w:tabs>
              <w:spacing w:beforeLines="20" w:before="48" w:afterLines="20" w:after="48"/>
              <w:jc w:val="both"/>
              <w:rPr>
                <w:rFonts w:ascii="Arial" w:hAnsi="Arial" w:cs="Arial"/>
                <w:sz w:val="20"/>
                <w:szCs w:val="20"/>
              </w:rPr>
            </w:pPr>
            <w:r>
              <w:rPr>
                <w:rFonts w:ascii="Arial" w:hAnsi="Arial" w:cs="Arial"/>
                <w:sz w:val="20"/>
                <w:szCs w:val="20"/>
              </w:rPr>
              <w:t>Ņemot vērā to, ka ī</w:t>
            </w:r>
            <w:r w:rsidR="00DD4878">
              <w:rPr>
                <w:rFonts w:ascii="Arial" w:hAnsi="Arial" w:cs="Arial"/>
                <w:sz w:val="20"/>
                <w:szCs w:val="20"/>
              </w:rPr>
              <w:t>p</w:t>
            </w:r>
            <w:r w:rsidR="00A368DA">
              <w:rPr>
                <w:rFonts w:ascii="Arial" w:hAnsi="Arial" w:cs="Arial"/>
                <w:sz w:val="20"/>
                <w:szCs w:val="20"/>
              </w:rPr>
              <w:t xml:space="preserve">ašām diētām (piemēram, </w:t>
            </w:r>
            <w:proofErr w:type="spellStart"/>
            <w:r w:rsidR="00A368DA">
              <w:rPr>
                <w:rFonts w:ascii="Arial" w:hAnsi="Arial" w:cs="Arial"/>
                <w:sz w:val="20"/>
                <w:szCs w:val="20"/>
              </w:rPr>
              <w:t>celiakija</w:t>
            </w:r>
            <w:proofErr w:type="spellEnd"/>
            <w:r w:rsidR="00A368DA">
              <w:rPr>
                <w:rFonts w:ascii="Arial" w:hAnsi="Arial" w:cs="Arial"/>
                <w:sz w:val="20"/>
                <w:szCs w:val="20"/>
              </w:rPr>
              <w:t>, laktozes nepanesība</w:t>
            </w:r>
            <w:r w:rsidR="00DD4878">
              <w:rPr>
                <w:rFonts w:ascii="Arial" w:hAnsi="Arial" w:cs="Arial"/>
                <w:sz w:val="20"/>
                <w:szCs w:val="20"/>
              </w:rPr>
              <w:t xml:space="preserve">) pieejamo produktu klāsts, kas atbilstu ZPI </w:t>
            </w:r>
            <w:r>
              <w:rPr>
                <w:rFonts w:ascii="Arial" w:hAnsi="Arial" w:cs="Arial"/>
                <w:sz w:val="20"/>
                <w:szCs w:val="20"/>
              </w:rPr>
              <w:t>prasībām, ir nepietiekams</w:t>
            </w:r>
            <w:r w:rsidR="00DD4878">
              <w:rPr>
                <w:rFonts w:ascii="Arial" w:hAnsi="Arial" w:cs="Arial"/>
                <w:sz w:val="20"/>
                <w:szCs w:val="20"/>
              </w:rPr>
              <w:t>, Komisija skaidro, ka</w:t>
            </w:r>
            <w:r>
              <w:rPr>
                <w:rFonts w:ascii="Arial" w:hAnsi="Arial" w:cs="Arial"/>
                <w:sz w:val="20"/>
                <w:szCs w:val="20"/>
              </w:rPr>
              <w:t>,</w:t>
            </w:r>
            <w:r w:rsidR="00DD4878">
              <w:rPr>
                <w:rFonts w:ascii="Arial" w:hAnsi="Arial" w:cs="Arial"/>
                <w:sz w:val="20"/>
                <w:szCs w:val="20"/>
              </w:rPr>
              <w:t xml:space="preserve"> sagatavojot un </w:t>
            </w:r>
            <w:r w:rsidR="00DD4878" w:rsidRPr="00DD4878">
              <w:rPr>
                <w:rFonts w:ascii="Arial" w:hAnsi="Arial" w:cs="Arial"/>
                <w:sz w:val="20"/>
                <w:szCs w:val="20"/>
              </w:rPr>
              <w:t>iesniedz</w:t>
            </w:r>
            <w:r w:rsidR="00DD4878">
              <w:rPr>
                <w:rFonts w:ascii="Arial" w:hAnsi="Arial" w:cs="Arial"/>
                <w:sz w:val="20"/>
                <w:szCs w:val="20"/>
              </w:rPr>
              <w:t>ot</w:t>
            </w:r>
            <w:r w:rsidR="00DD4878" w:rsidRPr="00DD4878">
              <w:rPr>
                <w:rFonts w:ascii="Arial" w:hAnsi="Arial" w:cs="Arial"/>
                <w:sz w:val="20"/>
                <w:szCs w:val="20"/>
              </w:rPr>
              <w:t xml:space="preserve"> komplekso pusdienu ēdienkart</w:t>
            </w:r>
            <w:r w:rsidR="00DD4878">
              <w:rPr>
                <w:rFonts w:ascii="Arial" w:hAnsi="Arial" w:cs="Arial"/>
                <w:sz w:val="20"/>
                <w:szCs w:val="20"/>
              </w:rPr>
              <w:t xml:space="preserve">i </w:t>
            </w:r>
            <w:r w:rsidR="00A368DA">
              <w:rPr>
                <w:rFonts w:ascii="Arial" w:hAnsi="Arial" w:cs="Arial"/>
                <w:sz w:val="20"/>
                <w:szCs w:val="20"/>
              </w:rPr>
              <w:t xml:space="preserve"> un nodrošinot izglītojamiem</w:t>
            </w:r>
            <w:r w:rsidR="001D1E08">
              <w:rPr>
                <w:rFonts w:ascii="Arial" w:hAnsi="Arial" w:cs="Arial"/>
                <w:sz w:val="20"/>
                <w:szCs w:val="20"/>
              </w:rPr>
              <w:t xml:space="preserve"> </w:t>
            </w:r>
            <w:r w:rsidR="00A368DA">
              <w:rPr>
                <w:rFonts w:ascii="Arial" w:hAnsi="Arial" w:cs="Arial"/>
                <w:sz w:val="20"/>
                <w:szCs w:val="20"/>
              </w:rPr>
              <w:t>ēdināšanas pakalpojumu (diētu)</w:t>
            </w:r>
            <w:r w:rsidR="00DD4878" w:rsidRPr="00DD4878">
              <w:rPr>
                <w:rFonts w:ascii="Arial" w:hAnsi="Arial" w:cs="Arial"/>
                <w:sz w:val="20"/>
                <w:szCs w:val="20"/>
              </w:rPr>
              <w:t xml:space="preserve"> </w:t>
            </w:r>
            <w:r w:rsidR="00A368DA">
              <w:rPr>
                <w:rFonts w:ascii="Arial" w:hAnsi="Arial" w:cs="Arial"/>
                <w:sz w:val="20"/>
                <w:szCs w:val="20"/>
              </w:rPr>
              <w:t>saskaņā ar ārstniecības personas rakstiskiem norādījumiem</w:t>
            </w:r>
            <w:r w:rsidR="001D1E08">
              <w:rPr>
                <w:rFonts w:ascii="Arial" w:hAnsi="Arial" w:cs="Arial"/>
                <w:sz w:val="20"/>
                <w:szCs w:val="20"/>
              </w:rPr>
              <w:t xml:space="preserve">, Pretendents iespēju robežās izvēlas un pielieto </w:t>
            </w:r>
            <w:r w:rsidR="001D1E08" w:rsidRPr="001D1E08">
              <w:rPr>
                <w:rFonts w:ascii="Arial" w:hAnsi="Arial" w:cs="Arial"/>
                <w:sz w:val="20"/>
                <w:szCs w:val="20"/>
              </w:rPr>
              <w:t>produkt</w:t>
            </w:r>
            <w:r w:rsidR="001D1E08">
              <w:rPr>
                <w:rFonts w:ascii="Arial" w:hAnsi="Arial" w:cs="Arial"/>
                <w:sz w:val="20"/>
                <w:szCs w:val="20"/>
              </w:rPr>
              <w:t>us</w:t>
            </w:r>
            <w:r w:rsidR="001D1E08" w:rsidRPr="001D1E08">
              <w:rPr>
                <w:rFonts w:ascii="Arial" w:hAnsi="Arial" w:cs="Arial"/>
                <w:sz w:val="20"/>
                <w:szCs w:val="20"/>
              </w:rPr>
              <w:t>, kuri atbilst bioloģiskās lauksaimniecības, nacionālās pārtikas kvalitātes shēmas vai lauksaimniecības produktu integrētās audzēšanas  prasībām</w:t>
            </w:r>
            <w:r w:rsidR="001D1E08">
              <w:rPr>
                <w:rFonts w:ascii="Arial" w:hAnsi="Arial" w:cs="Arial"/>
                <w:sz w:val="20"/>
                <w:szCs w:val="20"/>
              </w:rPr>
              <w:t>.</w:t>
            </w:r>
          </w:p>
          <w:p w14:paraId="1656C00D" w14:textId="3135922F" w:rsidR="00782E20" w:rsidRPr="00782E20" w:rsidRDefault="00782E20" w:rsidP="00A368DA">
            <w:pPr>
              <w:tabs>
                <w:tab w:val="left" w:pos="851"/>
              </w:tabs>
              <w:spacing w:beforeLines="20" w:before="48" w:afterLines="20" w:after="48"/>
              <w:jc w:val="both"/>
              <w:rPr>
                <w:rFonts w:ascii="Arial" w:hAnsi="Arial" w:cs="Arial"/>
                <w:sz w:val="20"/>
                <w:szCs w:val="20"/>
              </w:rPr>
            </w:pPr>
            <w:r>
              <w:rPr>
                <w:rFonts w:ascii="Arial" w:hAnsi="Arial" w:cs="Arial"/>
                <w:sz w:val="20"/>
                <w:szCs w:val="20"/>
              </w:rPr>
              <w:t>Iesniedzot iepirkumam i</w:t>
            </w:r>
            <w:r w:rsidRPr="00782E20">
              <w:rPr>
                <w:rFonts w:ascii="Arial" w:hAnsi="Arial" w:cs="Arial"/>
                <w:sz w:val="20"/>
                <w:szCs w:val="20"/>
              </w:rPr>
              <w:t>nformācij</w:t>
            </w:r>
            <w:r>
              <w:rPr>
                <w:rFonts w:ascii="Arial" w:hAnsi="Arial" w:cs="Arial"/>
                <w:sz w:val="20"/>
                <w:szCs w:val="20"/>
              </w:rPr>
              <w:t>u</w:t>
            </w:r>
            <w:r w:rsidRPr="00782E20">
              <w:rPr>
                <w:rFonts w:ascii="Arial" w:hAnsi="Arial" w:cs="Arial"/>
                <w:sz w:val="20"/>
                <w:szCs w:val="20"/>
              </w:rPr>
              <w:t xml:space="preserve"> par Pretendenta piedāvātajiem produktiem, kuri atbilst NPKS, BL vai LPIA prasībām - pēc formas - nolikuma 6.pielikums</w:t>
            </w:r>
            <w:r>
              <w:rPr>
                <w:rFonts w:ascii="Arial" w:hAnsi="Arial" w:cs="Arial"/>
                <w:sz w:val="20"/>
                <w:szCs w:val="20"/>
              </w:rPr>
              <w:t>, diētām paredzētie produkti tabulā nav jānorāda, tie netiks vērtēti.</w:t>
            </w:r>
          </w:p>
        </w:tc>
      </w:tr>
      <w:tr w:rsidR="00B4657F" w:rsidRPr="00F465E9" w14:paraId="44E466E3" w14:textId="77777777" w:rsidTr="004A0F85">
        <w:tc>
          <w:tcPr>
            <w:tcW w:w="9322" w:type="dxa"/>
            <w:gridSpan w:val="6"/>
            <w:shd w:val="clear" w:color="auto" w:fill="CCFFCC"/>
          </w:tcPr>
          <w:p w14:paraId="7EACC3E7" w14:textId="77777777" w:rsidR="00B4657F" w:rsidRPr="00DC52B1" w:rsidRDefault="00B4657F" w:rsidP="00B4657F">
            <w:pPr>
              <w:tabs>
                <w:tab w:val="left" w:pos="2552"/>
              </w:tabs>
              <w:suppressAutoHyphens/>
              <w:autoSpaceDE w:val="0"/>
              <w:jc w:val="both"/>
              <w:rPr>
                <w:rFonts w:ascii="Arial" w:hAnsi="Arial" w:cs="Arial"/>
                <w:b/>
                <w:bCs/>
                <w:sz w:val="12"/>
                <w:szCs w:val="12"/>
                <w:lang w:eastAsia="ar-SA"/>
              </w:rPr>
            </w:pPr>
          </w:p>
        </w:tc>
      </w:tr>
      <w:bookmarkEnd w:id="2"/>
      <w:bookmarkEnd w:id="3"/>
      <w:bookmarkEnd w:id="4"/>
      <w:bookmarkEnd w:id="5"/>
      <w:bookmarkEnd w:id="6"/>
      <w:tr w:rsidR="00DD4878" w:rsidRPr="00882B86" w14:paraId="7EC4D608" w14:textId="77777777" w:rsidTr="005A06C7">
        <w:trPr>
          <w:trHeight w:val="739"/>
        </w:trPr>
        <w:tc>
          <w:tcPr>
            <w:tcW w:w="1809" w:type="dxa"/>
          </w:tcPr>
          <w:p w14:paraId="171B1C4F" w14:textId="333C7CFF" w:rsidR="00DD4878" w:rsidRPr="0016301D" w:rsidRDefault="00DD4878" w:rsidP="00BC6B1F">
            <w:pPr>
              <w:spacing w:before="80" w:after="80"/>
              <w:rPr>
                <w:rFonts w:ascii="Arial" w:hAnsi="Arial" w:cs="Arial"/>
                <w:b/>
                <w:bCs/>
                <w:sz w:val="21"/>
                <w:szCs w:val="21"/>
                <w:lang w:eastAsia="en-US"/>
              </w:rPr>
            </w:pPr>
            <w:r w:rsidRPr="00D7301C">
              <w:rPr>
                <w:rFonts w:ascii="Arial" w:hAnsi="Arial" w:cs="Arial"/>
                <w:b/>
                <w:bCs/>
                <w:sz w:val="21"/>
                <w:szCs w:val="21"/>
                <w:lang w:eastAsia="en-US"/>
              </w:rPr>
              <w:t>Skaidrojums</w:t>
            </w:r>
            <w:r>
              <w:rPr>
                <w:rFonts w:ascii="Arial" w:hAnsi="Arial" w:cs="Arial"/>
                <w:b/>
                <w:bCs/>
                <w:sz w:val="21"/>
                <w:szCs w:val="21"/>
                <w:lang w:eastAsia="en-US"/>
              </w:rPr>
              <w:t xml:space="preserve"> 2</w:t>
            </w:r>
          </w:p>
        </w:tc>
        <w:tc>
          <w:tcPr>
            <w:tcW w:w="7513" w:type="dxa"/>
            <w:gridSpan w:val="5"/>
            <w:tcBorders>
              <w:bottom w:val="dotted" w:sz="4" w:space="0" w:color="auto"/>
            </w:tcBorders>
          </w:tcPr>
          <w:p w14:paraId="01FCCBA7" w14:textId="77777777" w:rsidR="00DD4878" w:rsidRDefault="001D1E08" w:rsidP="00BC6B1F">
            <w:pPr>
              <w:spacing w:before="20" w:after="20"/>
              <w:jc w:val="both"/>
              <w:rPr>
                <w:rFonts w:ascii="Arial" w:hAnsi="Arial" w:cs="Arial"/>
                <w:color w:val="000000"/>
                <w:sz w:val="20"/>
                <w:szCs w:val="20"/>
                <w:lang w:eastAsia="en-US"/>
              </w:rPr>
            </w:pPr>
            <w:r>
              <w:rPr>
                <w:rFonts w:ascii="Arial" w:hAnsi="Arial" w:cs="Arial"/>
                <w:color w:val="000000"/>
                <w:sz w:val="20"/>
                <w:szCs w:val="20"/>
                <w:lang w:eastAsia="en-US"/>
              </w:rPr>
              <w:t>Nolikuma 4.6. punktā noteikts [</w:t>
            </w:r>
            <w:r w:rsidRPr="001D1E08">
              <w:rPr>
                <w:rFonts w:ascii="Arial" w:hAnsi="Arial" w:cs="Arial"/>
                <w:i/>
                <w:iCs/>
                <w:color w:val="000000"/>
                <w:sz w:val="20"/>
                <w:szCs w:val="20"/>
                <w:lang w:eastAsia="en-US"/>
              </w:rPr>
              <w:t>Ēdienkartēs jāiekļauj produkti, kuri atbilst bioloģiskās lauksaimniecības (turpmāk – BL), nacionālās pārtikas kvalitātes shēmas (turpmāk – NPKS) vai lauksaimniecības produktu integrētās audzēšanas (turpmāk – LPIA) prasībām , un kurus pretendents izmantos ēdināšanas pakalpojuma nodrošināšanai visā iepirkuma līguma darbības laikā</w:t>
            </w:r>
            <w:r>
              <w:rPr>
                <w:rFonts w:ascii="Arial" w:hAnsi="Arial" w:cs="Arial"/>
                <w:color w:val="000000"/>
                <w:sz w:val="20"/>
                <w:szCs w:val="20"/>
                <w:lang w:eastAsia="en-US"/>
              </w:rPr>
              <w:t>]</w:t>
            </w:r>
            <w:r w:rsidRPr="001D1E08">
              <w:rPr>
                <w:rFonts w:ascii="Arial" w:hAnsi="Arial" w:cs="Arial"/>
                <w:color w:val="000000"/>
                <w:sz w:val="20"/>
                <w:szCs w:val="20"/>
                <w:lang w:eastAsia="en-US"/>
              </w:rPr>
              <w:t>.</w:t>
            </w:r>
            <w:r>
              <w:rPr>
                <w:rFonts w:ascii="Arial" w:hAnsi="Arial" w:cs="Arial"/>
                <w:color w:val="000000"/>
                <w:sz w:val="20"/>
                <w:szCs w:val="20"/>
                <w:lang w:eastAsia="en-US"/>
              </w:rPr>
              <w:t xml:space="preserve"> </w:t>
            </w:r>
          </w:p>
          <w:p w14:paraId="7D213A41" w14:textId="49A9E594" w:rsidR="001D1E08" w:rsidRPr="001D1E08" w:rsidRDefault="001D1E08" w:rsidP="001D1E08">
            <w:pPr>
              <w:pStyle w:val="Default"/>
              <w:spacing w:beforeLines="20" w:before="48" w:afterLines="20" w:after="48"/>
              <w:ind w:left="34"/>
              <w:jc w:val="both"/>
              <w:rPr>
                <w:rFonts w:ascii="Arial" w:eastAsia="Times New Roman" w:hAnsi="Arial" w:cs="Arial"/>
                <w:color w:val="auto"/>
                <w:sz w:val="20"/>
                <w:szCs w:val="20"/>
              </w:rPr>
            </w:pPr>
            <w:r>
              <w:rPr>
                <w:rFonts w:ascii="Arial" w:hAnsi="Arial" w:cs="Arial"/>
                <w:sz w:val="20"/>
                <w:szCs w:val="20"/>
              </w:rPr>
              <w:t xml:space="preserve">Pretendentam jāiesniedz </w:t>
            </w:r>
            <w:r w:rsidRPr="001D1E08">
              <w:rPr>
                <w:rFonts w:ascii="Arial" w:eastAsia="Times New Roman" w:hAnsi="Arial" w:cs="Arial"/>
                <w:color w:val="auto"/>
                <w:sz w:val="20"/>
                <w:szCs w:val="20"/>
                <w:u w:val="single"/>
              </w:rPr>
              <w:t>Informācija par Pretendenta piedāvātajiem produktiem, kuri atbilst NPKS, BL vai LPIA prasībām</w:t>
            </w:r>
            <w:r w:rsidRPr="0085436D">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710EAB">
              <w:rPr>
                <w:rFonts w:ascii="Arial" w:eastAsia="Times New Roman" w:hAnsi="Arial" w:cs="Arial"/>
                <w:color w:val="auto"/>
                <w:sz w:val="20"/>
                <w:szCs w:val="20"/>
              </w:rPr>
              <w:t xml:space="preserve">pēc formas - nolikuma </w:t>
            </w:r>
            <w:r>
              <w:rPr>
                <w:rFonts w:ascii="Arial" w:eastAsia="Times New Roman" w:hAnsi="Arial" w:cs="Arial"/>
                <w:color w:val="auto"/>
                <w:sz w:val="20"/>
                <w:szCs w:val="20"/>
              </w:rPr>
              <w:t>6</w:t>
            </w:r>
            <w:r w:rsidRPr="00710EAB">
              <w:rPr>
                <w:rFonts w:ascii="Arial" w:eastAsia="Times New Roman" w:hAnsi="Arial" w:cs="Arial"/>
                <w:color w:val="auto"/>
                <w:sz w:val="20"/>
                <w:szCs w:val="20"/>
              </w:rPr>
              <w:t>.pielikums</w:t>
            </w:r>
            <w:r>
              <w:rPr>
                <w:rFonts w:ascii="Arial" w:eastAsia="Times New Roman" w:hAnsi="Arial" w:cs="Arial"/>
                <w:color w:val="auto"/>
                <w:sz w:val="20"/>
                <w:szCs w:val="20"/>
              </w:rPr>
              <w:t>. Piemēram, minētajā pielikumā kā produkts Nr. 16 ir minēts SIERS. Komisija skaidro, ka šajā pozīcijā jānorāda visi sieri, kurus pretendents paredzējis lietot pakalpojuma sniegšanas laikā. Piemēram</w:t>
            </w:r>
            <w:r w:rsidR="005A06C7">
              <w:rPr>
                <w:rFonts w:ascii="Arial" w:eastAsia="Times New Roman" w:hAnsi="Arial" w:cs="Arial"/>
                <w:color w:val="auto"/>
                <w:sz w:val="20"/>
                <w:szCs w:val="20"/>
              </w:rPr>
              <w:t>:</w:t>
            </w:r>
            <w:r>
              <w:rPr>
                <w:rFonts w:ascii="Arial" w:eastAsia="Times New Roman" w:hAnsi="Arial" w:cs="Arial"/>
                <w:color w:val="auto"/>
                <w:sz w:val="20"/>
                <w:szCs w:val="20"/>
              </w:rPr>
              <w:t xml:space="preserve"> </w:t>
            </w:r>
          </w:p>
        </w:tc>
      </w:tr>
      <w:tr w:rsidR="001D1E08" w:rsidRPr="00882B86" w14:paraId="76442216" w14:textId="77777777" w:rsidTr="008A1E8D">
        <w:trPr>
          <w:trHeight w:val="245"/>
        </w:trPr>
        <w:tc>
          <w:tcPr>
            <w:tcW w:w="1809" w:type="dxa"/>
            <w:tcBorders>
              <w:right w:val="dotted" w:sz="4" w:space="0" w:color="auto"/>
            </w:tcBorders>
          </w:tcPr>
          <w:p w14:paraId="1AEF3EA5" w14:textId="77777777" w:rsidR="001D1E08" w:rsidRPr="00D7301C" w:rsidRDefault="001D1E08" w:rsidP="00BC6B1F">
            <w:pPr>
              <w:spacing w:before="80" w:after="80"/>
              <w:rPr>
                <w:rFonts w:ascii="Arial" w:hAnsi="Arial" w:cs="Arial"/>
                <w:b/>
                <w:bCs/>
                <w:sz w:val="21"/>
                <w:szCs w:val="21"/>
                <w:lang w:eastAsia="en-US"/>
              </w:rPr>
            </w:pPr>
          </w:p>
        </w:tc>
        <w:tc>
          <w:tcPr>
            <w:tcW w:w="1276" w:type="dxa"/>
            <w:tcBorders>
              <w:top w:val="dotted" w:sz="4" w:space="0" w:color="auto"/>
              <w:left w:val="dotted" w:sz="4" w:space="0" w:color="auto"/>
              <w:bottom w:val="dotted" w:sz="4" w:space="0" w:color="auto"/>
              <w:right w:val="dotted" w:sz="4" w:space="0" w:color="auto"/>
            </w:tcBorders>
          </w:tcPr>
          <w:p w14:paraId="67430B51" w14:textId="42D7859F" w:rsidR="001D1E08" w:rsidRPr="006D403A" w:rsidRDefault="001D1E08" w:rsidP="006D403A">
            <w:pPr>
              <w:spacing w:before="20" w:after="20"/>
              <w:jc w:val="center"/>
              <w:rPr>
                <w:rFonts w:ascii="Arial" w:hAnsi="Arial" w:cs="Arial"/>
                <w:b/>
                <w:bCs/>
                <w:color w:val="000000"/>
                <w:sz w:val="18"/>
                <w:szCs w:val="18"/>
                <w:lang w:eastAsia="en-US"/>
              </w:rPr>
            </w:pPr>
            <w:r w:rsidRPr="006D403A">
              <w:rPr>
                <w:rFonts w:ascii="Arial" w:hAnsi="Arial" w:cs="Arial"/>
                <w:b/>
                <w:bCs/>
                <w:color w:val="000000"/>
                <w:sz w:val="18"/>
                <w:szCs w:val="18"/>
                <w:lang w:eastAsia="en-US"/>
              </w:rPr>
              <w:t>Produkta nosaukums</w:t>
            </w:r>
          </w:p>
        </w:tc>
        <w:tc>
          <w:tcPr>
            <w:tcW w:w="1134" w:type="dxa"/>
            <w:tcBorders>
              <w:top w:val="dotted" w:sz="4" w:space="0" w:color="auto"/>
              <w:left w:val="dotted" w:sz="4" w:space="0" w:color="auto"/>
              <w:bottom w:val="dotted" w:sz="4" w:space="0" w:color="auto"/>
              <w:right w:val="dotted" w:sz="4" w:space="0" w:color="auto"/>
            </w:tcBorders>
          </w:tcPr>
          <w:p w14:paraId="1216184B" w14:textId="6D023EC8" w:rsidR="001D1E08" w:rsidRPr="006D403A" w:rsidRDefault="001D1E08" w:rsidP="006D403A">
            <w:pPr>
              <w:spacing w:before="20" w:after="20"/>
              <w:jc w:val="center"/>
              <w:rPr>
                <w:rFonts w:ascii="Arial" w:hAnsi="Arial" w:cs="Arial"/>
                <w:b/>
                <w:bCs/>
                <w:color w:val="000000"/>
                <w:sz w:val="18"/>
                <w:szCs w:val="18"/>
                <w:lang w:eastAsia="en-US"/>
              </w:rPr>
            </w:pPr>
            <w:r w:rsidRPr="006D403A">
              <w:rPr>
                <w:rFonts w:ascii="Arial" w:hAnsi="Arial" w:cs="Arial"/>
                <w:b/>
                <w:bCs/>
                <w:color w:val="000000"/>
                <w:sz w:val="18"/>
                <w:szCs w:val="18"/>
                <w:lang w:eastAsia="en-US"/>
              </w:rPr>
              <w:t>Produkta būtiskums</w:t>
            </w:r>
          </w:p>
        </w:tc>
        <w:tc>
          <w:tcPr>
            <w:tcW w:w="2097" w:type="dxa"/>
            <w:tcBorders>
              <w:top w:val="dotted" w:sz="4" w:space="0" w:color="auto"/>
              <w:left w:val="dotted" w:sz="4" w:space="0" w:color="auto"/>
              <w:bottom w:val="dotted" w:sz="4" w:space="0" w:color="auto"/>
              <w:right w:val="dotted" w:sz="4" w:space="0" w:color="auto"/>
            </w:tcBorders>
          </w:tcPr>
          <w:p w14:paraId="74AE9E01" w14:textId="1A81A07F" w:rsidR="001D1E08" w:rsidRPr="006D403A" w:rsidRDefault="005A06C7" w:rsidP="006D403A">
            <w:pPr>
              <w:spacing w:before="20" w:after="20"/>
              <w:jc w:val="center"/>
              <w:rPr>
                <w:rFonts w:ascii="Arial" w:hAnsi="Arial" w:cs="Arial"/>
                <w:b/>
                <w:bCs/>
                <w:color w:val="000000"/>
                <w:sz w:val="18"/>
                <w:szCs w:val="18"/>
                <w:lang w:eastAsia="en-US"/>
              </w:rPr>
            </w:pPr>
            <w:r w:rsidRPr="006D403A">
              <w:rPr>
                <w:rFonts w:ascii="Arial" w:hAnsi="Arial" w:cs="Arial"/>
                <w:b/>
                <w:bCs/>
                <w:color w:val="000000"/>
                <w:sz w:val="18"/>
                <w:szCs w:val="18"/>
                <w:lang w:eastAsia="en-US"/>
              </w:rPr>
              <w:t>Pretendenta piedāvātā produkta nosaukums</w:t>
            </w:r>
          </w:p>
        </w:tc>
        <w:tc>
          <w:tcPr>
            <w:tcW w:w="1622" w:type="dxa"/>
            <w:tcBorders>
              <w:top w:val="dotted" w:sz="4" w:space="0" w:color="auto"/>
              <w:left w:val="dotted" w:sz="4" w:space="0" w:color="auto"/>
              <w:bottom w:val="dotted" w:sz="4" w:space="0" w:color="auto"/>
              <w:right w:val="dotted" w:sz="4" w:space="0" w:color="auto"/>
            </w:tcBorders>
          </w:tcPr>
          <w:p w14:paraId="69F0855F" w14:textId="258BA5AA" w:rsidR="001D1E08" w:rsidRPr="006D403A" w:rsidRDefault="005A06C7" w:rsidP="006D403A">
            <w:pPr>
              <w:spacing w:before="20" w:after="20"/>
              <w:jc w:val="center"/>
              <w:rPr>
                <w:rFonts w:ascii="Arial" w:hAnsi="Arial" w:cs="Arial"/>
                <w:b/>
                <w:bCs/>
                <w:color w:val="000000"/>
                <w:sz w:val="18"/>
                <w:szCs w:val="18"/>
                <w:lang w:eastAsia="en-US"/>
              </w:rPr>
            </w:pPr>
            <w:r w:rsidRPr="006D403A">
              <w:rPr>
                <w:rFonts w:ascii="Arial" w:hAnsi="Arial" w:cs="Arial"/>
                <w:b/>
                <w:bCs/>
                <w:color w:val="000000"/>
                <w:sz w:val="18"/>
                <w:szCs w:val="18"/>
                <w:lang w:eastAsia="en-US"/>
              </w:rPr>
              <w:t>Produkta ražotājs, u.c. informācija</w:t>
            </w:r>
          </w:p>
        </w:tc>
        <w:tc>
          <w:tcPr>
            <w:tcW w:w="1384" w:type="dxa"/>
            <w:tcBorders>
              <w:top w:val="dotted" w:sz="4" w:space="0" w:color="auto"/>
              <w:left w:val="dotted" w:sz="4" w:space="0" w:color="auto"/>
              <w:bottom w:val="dotted" w:sz="4" w:space="0" w:color="auto"/>
              <w:right w:val="dotted" w:sz="4" w:space="0" w:color="auto"/>
            </w:tcBorders>
          </w:tcPr>
          <w:p w14:paraId="4B3974D6" w14:textId="53D57E1A" w:rsidR="001D1E08" w:rsidRPr="006D403A" w:rsidRDefault="005A06C7" w:rsidP="006D403A">
            <w:pPr>
              <w:spacing w:before="20" w:after="20"/>
              <w:jc w:val="center"/>
              <w:rPr>
                <w:rFonts w:ascii="Arial" w:hAnsi="Arial" w:cs="Arial"/>
                <w:b/>
                <w:bCs/>
                <w:color w:val="000000"/>
                <w:sz w:val="18"/>
                <w:szCs w:val="18"/>
                <w:lang w:eastAsia="en-US"/>
              </w:rPr>
            </w:pPr>
            <w:r w:rsidRPr="006D403A">
              <w:rPr>
                <w:rFonts w:ascii="Arial" w:hAnsi="Arial" w:cs="Arial"/>
                <w:b/>
                <w:bCs/>
                <w:color w:val="000000"/>
                <w:sz w:val="18"/>
                <w:szCs w:val="18"/>
                <w:lang w:eastAsia="en-US"/>
              </w:rPr>
              <w:t>Skaitlis, kuru norāda atkarībā no piegādes attāluma</w:t>
            </w:r>
          </w:p>
        </w:tc>
      </w:tr>
      <w:tr w:rsidR="001D1E08" w:rsidRPr="00882B86" w14:paraId="7E313B41" w14:textId="77777777" w:rsidTr="008A1E8D">
        <w:trPr>
          <w:trHeight w:val="245"/>
        </w:trPr>
        <w:tc>
          <w:tcPr>
            <w:tcW w:w="1809" w:type="dxa"/>
            <w:vMerge w:val="restart"/>
            <w:tcBorders>
              <w:right w:val="dotted" w:sz="4" w:space="0" w:color="auto"/>
            </w:tcBorders>
          </w:tcPr>
          <w:p w14:paraId="26BD2E38" w14:textId="77777777" w:rsidR="001D1E08" w:rsidRPr="00D7301C" w:rsidRDefault="001D1E08" w:rsidP="00BC6B1F">
            <w:pPr>
              <w:spacing w:before="80" w:after="80"/>
              <w:rPr>
                <w:rFonts w:ascii="Arial" w:hAnsi="Arial" w:cs="Arial"/>
                <w:b/>
                <w:bCs/>
                <w:sz w:val="21"/>
                <w:szCs w:val="21"/>
                <w:lang w:eastAsia="en-US"/>
              </w:rPr>
            </w:pPr>
          </w:p>
        </w:tc>
        <w:tc>
          <w:tcPr>
            <w:tcW w:w="1276" w:type="dxa"/>
            <w:vMerge w:val="restart"/>
            <w:tcBorders>
              <w:top w:val="dotted" w:sz="4" w:space="0" w:color="auto"/>
              <w:left w:val="dotted" w:sz="4" w:space="0" w:color="auto"/>
              <w:bottom w:val="dotted" w:sz="4" w:space="0" w:color="auto"/>
              <w:right w:val="dotted" w:sz="4" w:space="0" w:color="auto"/>
            </w:tcBorders>
          </w:tcPr>
          <w:p w14:paraId="3BD182BA" w14:textId="43023615" w:rsidR="001D1E08" w:rsidRDefault="001D1E08" w:rsidP="00BC6B1F">
            <w:pPr>
              <w:spacing w:before="20" w:after="20"/>
              <w:jc w:val="both"/>
              <w:rPr>
                <w:rFonts w:ascii="Arial" w:hAnsi="Arial" w:cs="Arial"/>
                <w:color w:val="000000"/>
                <w:sz w:val="20"/>
                <w:szCs w:val="20"/>
                <w:lang w:eastAsia="en-US"/>
              </w:rPr>
            </w:pPr>
            <w:r>
              <w:rPr>
                <w:rFonts w:ascii="Arial" w:hAnsi="Arial" w:cs="Arial"/>
                <w:color w:val="000000"/>
                <w:sz w:val="20"/>
                <w:szCs w:val="20"/>
                <w:lang w:eastAsia="en-US"/>
              </w:rPr>
              <w:t>Siers</w:t>
            </w:r>
          </w:p>
        </w:tc>
        <w:tc>
          <w:tcPr>
            <w:tcW w:w="1134" w:type="dxa"/>
            <w:vMerge w:val="restart"/>
            <w:tcBorders>
              <w:top w:val="dotted" w:sz="4" w:space="0" w:color="auto"/>
              <w:left w:val="dotted" w:sz="4" w:space="0" w:color="auto"/>
              <w:bottom w:val="dotted" w:sz="4" w:space="0" w:color="auto"/>
              <w:right w:val="dotted" w:sz="4" w:space="0" w:color="auto"/>
            </w:tcBorders>
          </w:tcPr>
          <w:p w14:paraId="6F90FC66" w14:textId="4D62BBF2" w:rsidR="001D1E08" w:rsidRDefault="001D1E08" w:rsidP="00BC6B1F">
            <w:pPr>
              <w:spacing w:before="20" w:after="20"/>
              <w:jc w:val="both"/>
              <w:rPr>
                <w:rFonts w:ascii="Arial" w:hAnsi="Arial" w:cs="Arial"/>
                <w:color w:val="000000"/>
                <w:sz w:val="20"/>
                <w:szCs w:val="20"/>
                <w:lang w:eastAsia="en-US"/>
              </w:rPr>
            </w:pPr>
            <w:r>
              <w:rPr>
                <w:rFonts w:ascii="Arial" w:hAnsi="Arial" w:cs="Arial"/>
                <w:color w:val="000000"/>
                <w:sz w:val="20"/>
                <w:szCs w:val="20"/>
                <w:lang w:eastAsia="en-US"/>
              </w:rPr>
              <w:t>2%</w:t>
            </w:r>
          </w:p>
        </w:tc>
        <w:tc>
          <w:tcPr>
            <w:tcW w:w="2097" w:type="dxa"/>
            <w:tcBorders>
              <w:top w:val="dotted" w:sz="4" w:space="0" w:color="auto"/>
              <w:left w:val="dotted" w:sz="4" w:space="0" w:color="auto"/>
              <w:bottom w:val="dotted" w:sz="4" w:space="0" w:color="auto"/>
              <w:right w:val="dotted" w:sz="4" w:space="0" w:color="auto"/>
            </w:tcBorders>
          </w:tcPr>
          <w:p w14:paraId="282FC54D" w14:textId="3FBFF7ED" w:rsidR="001D1E08" w:rsidRDefault="001D1E08" w:rsidP="00BC6B1F">
            <w:pPr>
              <w:spacing w:before="20" w:after="20"/>
              <w:jc w:val="both"/>
              <w:rPr>
                <w:rFonts w:ascii="Arial" w:hAnsi="Arial" w:cs="Arial"/>
                <w:color w:val="000000"/>
                <w:sz w:val="20"/>
                <w:szCs w:val="20"/>
                <w:lang w:eastAsia="en-US"/>
              </w:rPr>
            </w:pPr>
            <w:r>
              <w:rPr>
                <w:rFonts w:ascii="Arial" w:hAnsi="Arial" w:cs="Arial"/>
                <w:color w:val="000000"/>
                <w:sz w:val="20"/>
                <w:szCs w:val="20"/>
                <w:lang w:eastAsia="en-US"/>
              </w:rPr>
              <w:t>Kazdangas siers ar dillēm</w:t>
            </w:r>
          </w:p>
        </w:tc>
        <w:tc>
          <w:tcPr>
            <w:tcW w:w="1622" w:type="dxa"/>
            <w:tcBorders>
              <w:top w:val="dotted" w:sz="4" w:space="0" w:color="auto"/>
              <w:left w:val="dotted" w:sz="4" w:space="0" w:color="auto"/>
              <w:bottom w:val="dotted" w:sz="4" w:space="0" w:color="auto"/>
              <w:right w:val="dotted" w:sz="4" w:space="0" w:color="auto"/>
            </w:tcBorders>
          </w:tcPr>
          <w:p w14:paraId="4BB0D258" w14:textId="42F6AA4A" w:rsidR="001D1E08" w:rsidRDefault="001D1E08" w:rsidP="00BC6B1F">
            <w:pPr>
              <w:spacing w:before="20" w:after="20"/>
              <w:jc w:val="both"/>
              <w:rPr>
                <w:rFonts w:ascii="Arial" w:hAnsi="Arial" w:cs="Arial"/>
                <w:color w:val="000000"/>
                <w:sz w:val="20"/>
                <w:szCs w:val="20"/>
                <w:lang w:eastAsia="en-US"/>
              </w:rPr>
            </w:pPr>
            <w:r>
              <w:rPr>
                <w:rFonts w:ascii="Arial" w:hAnsi="Arial" w:cs="Arial"/>
                <w:color w:val="000000"/>
                <w:sz w:val="20"/>
                <w:szCs w:val="20"/>
                <w:lang w:eastAsia="en-US"/>
              </w:rPr>
              <w:t>SIA “Elpa” …</w:t>
            </w:r>
          </w:p>
        </w:tc>
        <w:tc>
          <w:tcPr>
            <w:tcW w:w="1384" w:type="dxa"/>
            <w:tcBorders>
              <w:top w:val="dotted" w:sz="4" w:space="0" w:color="auto"/>
              <w:left w:val="dotted" w:sz="4" w:space="0" w:color="auto"/>
              <w:bottom w:val="dotted" w:sz="4" w:space="0" w:color="auto"/>
              <w:right w:val="dotted" w:sz="4" w:space="0" w:color="auto"/>
            </w:tcBorders>
          </w:tcPr>
          <w:p w14:paraId="42A2E4D3" w14:textId="792C0E7A" w:rsidR="001D1E08" w:rsidRDefault="001D1E08" w:rsidP="005A06C7">
            <w:pPr>
              <w:spacing w:before="20" w:after="20"/>
              <w:jc w:val="center"/>
              <w:rPr>
                <w:rFonts w:ascii="Arial" w:hAnsi="Arial" w:cs="Arial"/>
                <w:color w:val="000000"/>
                <w:sz w:val="20"/>
                <w:szCs w:val="20"/>
                <w:lang w:eastAsia="en-US"/>
              </w:rPr>
            </w:pPr>
            <w:r>
              <w:rPr>
                <w:rFonts w:ascii="Arial" w:hAnsi="Arial" w:cs="Arial"/>
                <w:color w:val="000000"/>
                <w:sz w:val="20"/>
                <w:szCs w:val="20"/>
                <w:lang w:eastAsia="en-US"/>
              </w:rPr>
              <w:t>2</w:t>
            </w:r>
          </w:p>
        </w:tc>
      </w:tr>
      <w:tr w:rsidR="001D1E08" w:rsidRPr="00882B86" w14:paraId="54F0312C" w14:textId="77777777" w:rsidTr="008A1E8D">
        <w:trPr>
          <w:trHeight w:val="245"/>
        </w:trPr>
        <w:tc>
          <w:tcPr>
            <w:tcW w:w="1809" w:type="dxa"/>
            <w:vMerge/>
            <w:tcBorders>
              <w:right w:val="dotted" w:sz="4" w:space="0" w:color="auto"/>
            </w:tcBorders>
          </w:tcPr>
          <w:p w14:paraId="4E301B6D" w14:textId="77777777" w:rsidR="001D1E08" w:rsidRPr="00D7301C" w:rsidRDefault="001D1E08" w:rsidP="00BC6B1F">
            <w:pPr>
              <w:spacing w:before="80" w:after="80"/>
              <w:rPr>
                <w:rFonts w:ascii="Arial" w:hAnsi="Arial" w:cs="Arial"/>
                <w:b/>
                <w:bCs/>
                <w:sz w:val="21"/>
                <w:szCs w:val="21"/>
                <w:lang w:eastAsia="en-US"/>
              </w:rPr>
            </w:pPr>
          </w:p>
        </w:tc>
        <w:tc>
          <w:tcPr>
            <w:tcW w:w="1276" w:type="dxa"/>
            <w:vMerge/>
            <w:tcBorders>
              <w:top w:val="dotted" w:sz="4" w:space="0" w:color="auto"/>
              <w:left w:val="dotted" w:sz="4" w:space="0" w:color="auto"/>
              <w:bottom w:val="dotted" w:sz="4" w:space="0" w:color="auto"/>
              <w:right w:val="dotted" w:sz="4" w:space="0" w:color="auto"/>
            </w:tcBorders>
          </w:tcPr>
          <w:p w14:paraId="6712ED07" w14:textId="77777777" w:rsidR="001D1E08" w:rsidRDefault="001D1E08" w:rsidP="00BC6B1F">
            <w:pPr>
              <w:spacing w:before="20" w:after="20"/>
              <w:jc w:val="both"/>
              <w:rPr>
                <w:rFonts w:ascii="Arial" w:hAnsi="Arial" w:cs="Arial"/>
                <w:color w:val="000000"/>
                <w:sz w:val="20"/>
                <w:szCs w:val="20"/>
                <w:lang w:eastAsia="en-US"/>
              </w:rPr>
            </w:pPr>
          </w:p>
        </w:tc>
        <w:tc>
          <w:tcPr>
            <w:tcW w:w="1134" w:type="dxa"/>
            <w:vMerge/>
            <w:tcBorders>
              <w:top w:val="dotted" w:sz="4" w:space="0" w:color="auto"/>
              <w:left w:val="dotted" w:sz="4" w:space="0" w:color="auto"/>
              <w:bottom w:val="dotted" w:sz="4" w:space="0" w:color="auto"/>
              <w:right w:val="dotted" w:sz="4" w:space="0" w:color="auto"/>
            </w:tcBorders>
          </w:tcPr>
          <w:p w14:paraId="5C1C248C" w14:textId="77777777" w:rsidR="001D1E08" w:rsidRDefault="001D1E08" w:rsidP="00BC6B1F">
            <w:pPr>
              <w:spacing w:before="20" w:after="20"/>
              <w:jc w:val="both"/>
              <w:rPr>
                <w:rFonts w:ascii="Arial" w:hAnsi="Arial" w:cs="Arial"/>
                <w:color w:val="000000"/>
                <w:sz w:val="20"/>
                <w:szCs w:val="20"/>
                <w:lang w:eastAsia="en-US"/>
              </w:rPr>
            </w:pPr>
          </w:p>
        </w:tc>
        <w:tc>
          <w:tcPr>
            <w:tcW w:w="2097" w:type="dxa"/>
            <w:tcBorders>
              <w:top w:val="dotted" w:sz="4" w:space="0" w:color="auto"/>
              <w:left w:val="dotted" w:sz="4" w:space="0" w:color="auto"/>
              <w:bottom w:val="dotted" w:sz="4" w:space="0" w:color="auto"/>
              <w:right w:val="dotted" w:sz="4" w:space="0" w:color="auto"/>
            </w:tcBorders>
          </w:tcPr>
          <w:p w14:paraId="3EB2E421" w14:textId="4DC49D3F" w:rsidR="001D1E08" w:rsidRDefault="001D1E08" w:rsidP="00BC6B1F">
            <w:pPr>
              <w:spacing w:before="20" w:after="20"/>
              <w:jc w:val="both"/>
              <w:rPr>
                <w:rFonts w:ascii="Arial" w:hAnsi="Arial" w:cs="Arial"/>
                <w:color w:val="000000"/>
                <w:sz w:val="20"/>
                <w:szCs w:val="20"/>
                <w:lang w:eastAsia="en-US"/>
              </w:rPr>
            </w:pPr>
            <w:r>
              <w:rPr>
                <w:rFonts w:ascii="Arial" w:hAnsi="Arial" w:cs="Arial"/>
                <w:color w:val="000000"/>
                <w:sz w:val="20"/>
                <w:szCs w:val="20"/>
                <w:lang w:eastAsia="en-US"/>
              </w:rPr>
              <w:t>Kausētais siers Dzintars klasiskais</w:t>
            </w:r>
          </w:p>
        </w:tc>
        <w:tc>
          <w:tcPr>
            <w:tcW w:w="1622" w:type="dxa"/>
            <w:tcBorders>
              <w:top w:val="dotted" w:sz="4" w:space="0" w:color="auto"/>
              <w:left w:val="dotted" w:sz="4" w:space="0" w:color="auto"/>
              <w:bottom w:val="dotted" w:sz="4" w:space="0" w:color="auto"/>
              <w:right w:val="dotted" w:sz="4" w:space="0" w:color="auto"/>
            </w:tcBorders>
          </w:tcPr>
          <w:p w14:paraId="6FE69496" w14:textId="6B7A0BA9" w:rsidR="001D1E08" w:rsidRDefault="008A1E8D" w:rsidP="00BC6B1F">
            <w:pPr>
              <w:spacing w:before="20" w:after="20"/>
              <w:jc w:val="both"/>
              <w:rPr>
                <w:rFonts w:ascii="Arial" w:hAnsi="Arial" w:cs="Arial"/>
                <w:color w:val="000000"/>
                <w:sz w:val="20"/>
                <w:szCs w:val="20"/>
                <w:lang w:eastAsia="en-US"/>
              </w:rPr>
            </w:pPr>
            <w:r w:rsidRPr="008A1E8D">
              <w:rPr>
                <w:rFonts w:ascii="Arial" w:hAnsi="Arial" w:cs="Arial"/>
                <w:color w:val="000000"/>
                <w:sz w:val="20"/>
                <w:szCs w:val="20"/>
                <w:lang w:eastAsia="en-US"/>
              </w:rPr>
              <w:t>SIA "Rīgas piensaimniek</w:t>
            </w:r>
            <w:r>
              <w:rPr>
                <w:rFonts w:ascii="Arial" w:hAnsi="Arial" w:cs="Arial"/>
                <w:color w:val="000000"/>
                <w:sz w:val="20"/>
                <w:szCs w:val="20"/>
                <w:lang w:eastAsia="en-US"/>
              </w:rPr>
              <w:t>s</w:t>
            </w:r>
            <w:r w:rsidRPr="008A1E8D">
              <w:rPr>
                <w:rFonts w:ascii="Arial" w:hAnsi="Arial" w:cs="Arial"/>
                <w:color w:val="000000"/>
                <w:sz w:val="20"/>
                <w:szCs w:val="20"/>
                <w:lang w:eastAsia="en-US"/>
              </w:rPr>
              <w:t>"</w:t>
            </w:r>
            <w:r w:rsidR="00782552">
              <w:rPr>
                <w:rFonts w:ascii="Arial" w:hAnsi="Arial" w:cs="Arial"/>
                <w:color w:val="000000"/>
                <w:sz w:val="20"/>
                <w:szCs w:val="20"/>
                <w:lang w:eastAsia="en-US"/>
              </w:rPr>
              <w:t>…</w:t>
            </w:r>
          </w:p>
        </w:tc>
        <w:tc>
          <w:tcPr>
            <w:tcW w:w="1384" w:type="dxa"/>
            <w:tcBorders>
              <w:top w:val="dotted" w:sz="4" w:space="0" w:color="auto"/>
              <w:left w:val="dotted" w:sz="4" w:space="0" w:color="auto"/>
              <w:bottom w:val="dotted" w:sz="4" w:space="0" w:color="auto"/>
              <w:right w:val="dotted" w:sz="4" w:space="0" w:color="auto"/>
            </w:tcBorders>
          </w:tcPr>
          <w:p w14:paraId="2698F4B3" w14:textId="2A346664" w:rsidR="001D1E08" w:rsidRDefault="001D1E08" w:rsidP="005A06C7">
            <w:pPr>
              <w:spacing w:before="20" w:after="20"/>
              <w:jc w:val="center"/>
              <w:rPr>
                <w:rFonts w:ascii="Arial" w:hAnsi="Arial" w:cs="Arial"/>
                <w:color w:val="000000"/>
                <w:sz w:val="20"/>
                <w:szCs w:val="20"/>
                <w:lang w:eastAsia="en-US"/>
              </w:rPr>
            </w:pPr>
            <w:r>
              <w:rPr>
                <w:rFonts w:ascii="Arial" w:hAnsi="Arial" w:cs="Arial"/>
                <w:color w:val="000000"/>
                <w:sz w:val="20"/>
                <w:szCs w:val="20"/>
                <w:lang w:eastAsia="en-US"/>
              </w:rPr>
              <w:t>1</w:t>
            </w:r>
          </w:p>
        </w:tc>
      </w:tr>
      <w:tr w:rsidR="001D1E08" w:rsidRPr="00882B86" w14:paraId="59EDBA2A" w14:textId="77777777" w:rsidTr="008A1E8D">
        <w:trPr>
          <w:trHeight w:val="245"/>
        </w:trPr>
        <w:tc>
          <w:tcPr>
            <w:tcW w:w="1809" w:type="dxa"/>
            <w:vMerge/>
            <w:tcBorders>
              <w:right w:val="dotted" w:sz="4" w:space="0" w:color="auto"/>
            </w:tcBorders>
          </w:tcPr>
          <w:p w14:paraId="1D9B3D07" w14:textId="77777777" w:rsidR="001D1E08" w:rsidRPr="00D7301C" w:rsidRDefault="001D1E08" w:rsidP="00BC6B1F">
            <w:pPr>
              <w:spacing w:before="80" w:after="80"/>
              <w:rPr>
                <w:rFonts w:ascii="Arial" w:hAnsi="Arial" w:cs="Arial"/>
                <w:b/>
                <w:bCs/>
                <w:sz w:val="21"/>
                <w:szCs w:val="21"/>
                <w:lang w:eastAsia="en-US"/>
              </w:rPr>
            </w:pPr>
          </w:p>
        </w:tc>
        <w:tc>
          <w:tcPr>
            <w:tcW w:w="1276" w:type="dxa"/>
            <w:vMerge/>
            <w:tcBorders>
              <w:top w:val="dotted" w:sz="4" w:space="0" w:color="auto"/>
              <w:left w:val="dotted" w:sz="4" w:space="0" w:color="auto"/>
              <w:bottom w:val="dotted" w:sz="4" w:space="0" w:color="auto"/>
              <w:right w:val="dotted" w:sz="4" w:space="0" w:color="auto"/>
            </w:tcBorders>
          </w:tcPr>
          <w:p w14:paraId="32D31D4F" w14:textId="77777777" w:rsidR="001D1E08" w:rsidRDefault="001D1E08" w:rsidP="00BC6B1F">
            <w:pPr>
              <w:spacing w:before="20" w:after="20"/>
              <w:jc w:val="both"/>
              <w:rPr>
                <w:rFonts w:ascii="Arial" w:hAnsi="Arial" w:cs="Arial"/>
                <w:color w:val="000000"/>
                <w:sz w:val="20"/>
                <w:szCs w:val="20"/>
                <w:lang w:eastAsia="en-US"/>
              </w:rPr>
            </w:pPr>
          </w:p>
        </w:tc>
        <w:tc>
          <w:tcPr>
            <w:tcW w:w="1134" w:type="dxa"/>
            <w:vMerge/>
            <w:tcBorders>
              <w:top w:val="dotted" w:sz="4" w:space="0" w:color="auto"/>
              <w:left w:val="dotted" w:sz="4" w:space="0" w:color="auto"/>
              <w:bottom w:val="dotted" w:sz="4" w:space="0" w:color="auto"/>
              <w:right w:val="dotted" w:sz="4" w:space="0" w:color="auto"/>
            </w:tcBorders>
          </w:tcPr>
          <w:p w14:paraId="68182442" w14:textId="77777777" w:rsidR="001D1E08" w:rsidRDefault="001D1E08" w:rsidP="00BC6B1F">
            <w:pPr>
              <w:spacing w:before="20" w:after="20"/>
              <w:jc w:val="both"/>
              <w:rPr>
                <w:rFonts w:ascii="Arial" w:hAnsi="Arial" w:cs="Arial"/>
                <w:color w:val="000000"/>
                <w:sz w:val="20"/>
                <w:szCs w:val="20"/>
                <w:lang w:eastAsia="en-US"/>
              </w:rPr>
            </w:pPr>
          </w:p>
        </w:tc>
        <w:tc>
          <w:tcPr>
            <w:tcW w:w="2097" w:type="dxa"/>
            <w:tcBorders>
              <w:top w:val="dotted" w:sz="4" w:space="0" w:color="auto"/>
              <w:left w:val="dotted" w:sz="4" w:space="0" w:color="auto"/>
              <w:bottom w:val="dotted" w:sz="4" w:space="0" w:color="auto"/>
              <w:right w:val="dotted" w:sz="4" w:space="0" w:color="auto"/>
            </w:tcBorders>
          </w:tcPr>
          <w:p w14:paraId="0133D98A" w14:textId="6FB03DB1" w:rsidR="001D1E08" w:rsidRDefault="008A1E8D" w:rsidP="00BC6B1F">
            <w:pPr>
              <w:spacing w:before="20" w:after="20"/>
              <w:jc w:val="both"/>
              <w:rPr>
                <w:rFonts w:ascii="Arial" w:hAnsi="Arial" w:cs="Arial"/>
                <w:color w:val="000000"/>
                <w:sz w:val="20"/>
                <w:szCs w:val="20"/>
                <w:lang w:eastAsia="en-US"/>
              </w:rPr>
            </w:pPr>
            <w:r w:rsidRPr="008A1E8D">
              <w:rPr>
                <w:rFonts w:ascii="Arial" w:hAnsi="Arial" w:cs="Arial"/>
                <w:color w:val="000000"/>
                <w:sz w:val="20"/>
                <w:szCs w:val="20"/>
                <w:lang w:eastAsia="en-US"/>
              </w:rPr>
              <w:t>Krievijas siers 45% (bez krāsvielām)</w:t>
            </w:r>
          </w:p>
        </w:tc>
        <w:tc>
          <w:tcPr>
            <w:tcW w:w="1622" w:type="dxa"/>
            <w:tcBorders>
              <w:top w:val="dotted" w:sz="4" w:space="0" w:color="auto"/>
              <w:left w:val="dotted" w:sz="4" w:space="0" w:color="auto"/>
              <w:bottom w:val="dotted" w:sz="4" w:space="0" w:color="auto"/>
              <w:right w:val="dotted" w:sz="4" w:space="0" w:color="auto"/>
            </w:tcBorders>
          </w:tcPr>
          <w:p w14:paraId="3D2D2347" w14:textId="45649FA4" w:rsidR="001D1E08" w:rsidRDefault="008A1E8D" w:rsidP="00BC6B1F">
            <w:pPr>
              <w:spacing w:before="20" w:after="20"/>
              <w:jc w:val="both"/>
              <w:rPr>
                <w:rFonts w:ascii="Arial" w:hAnsi="Arial" w:cs="Arial"/>
                <w:color w:val="000000"/>
                <w:sz w:val="20"/>
                <w:szCs w:val="20"/>
                <w:lang w:eastAsia="en-US"/>
              </w:rPr>
            </w:pPr>
            <w:r w:rsidRPr="008A1E8D">
              <w:rPr>
                <w:rFonts w:ascii="Arial" w:hAnsi="Arial" w:cs="Arial"/>
                <w:color w:val="000000"/>
                <w:sz w:val="20"/>
                <w:szCs w:val="20"/>
                <w:lang w:eastAsia="en-US"/>
              </w:rPr>
              <w:t>SIA "Latvijas Piens"</w:t>
            </w:r>
            <w:r w:rsidR="00782552">
              <w:rPr>
                <w:rFonts w:ascii="Arial" w:hAnsi="Arial" w:cs="Arial"/>
                <w:color w:val="000000"/>
                <w:sz w:val="20"/>
                <w:szCs w:val="20"/>
                <w:lang w:eastAsia="en-US"/>
              </w:rPr>
              <w:t>…</w:t>
            </w:r>
          </w:p>
        </w:tc>
        <w:tc>
          <w:tcPr>
            <w:tcW w:w="1384" w:type="dxa"/>
            <w:tcBorders>
              <w:top w:val="dotted" w:sz="4" w:space="0" w:color="auto"/>
              <w:left w:val="dotted" w:sz="4" w:space="0" w:color="auto"/>
              <w:bottom w:val="dotted" w:sz="4" w:space="0" w:color="auto"/>
              <w:right w:val="dotted" w:sz="4" w:space="0" w:color="auto"/>
            </w:tcBorders>
          </w:tcPr>
          <w:p w14:paraId="6780F96D" w14:textId="3748DEC6" w:rsidR="001D1E08" w:rsidRDefault="001D1E08" w:rsidP="005A06C7">
            <w:pPr>
              <w:spacing w:before="20" w:after="20"/>
              <w:jc w:val="center"/>
              <w:rPr>
                <w:rFonts w:ascii="Arial" w:hAnsi="Arial" w:cs="Arial"/>
                <w:color w:val="000000"/>
                <w:sz w:val="20"/>
                <w:szCs w:val="20"/>
                <w:lang w:eastAsia="en-US"/>
              </w:rPr>
            </w:pPr>
            <w:r>
              <w:rPr>
                <w:rFonts w:ascii="Arial" w:hAnsi="Arial" w:cs="Arial"/>
                <w:color w:val="000000"/>
                <w:sz w:val="20"/>
                <w:szCs w:val="20"/>
                <w:lang w:eastAsia="en-US"/>
              </w:rPr>
              <w:t>1</w:t>
            </w:r>
          </w:p>
        </w:tc>
      </w:tr>
      <w:tr w:rsidR="005A06C7" w:rsidRPr="00882B86" w14:paraId="15168373" w14:textId="77777777" w:rsidTr="005A06C7">
        <w:trPr>
          <w:trHeight w:val="245"/>
        </w:trPr>
        <w:tc>
          <w:tcPr>
            <w:tcW w:w="1809" w:type="dxa"/>
          </w:tcPr>
          <w:p w14:paraId="16A9548C" w14:textId="77777777" w:rsidR="005A06C7" w:rsidRPr="00D7301C" w:rsidRDefault="005A06C7" w:rsidP="00BC6B1F">
            <w:pPr>
              <w:spacing w:before="80" w:after="80"/>
              <w:rPr>
                <w:rFonts w:ascii="Arial" w:hAnsi="Arial" w:cs="Arial"/>
                <w:b/>
                <w:bCs/>
                <w:sz w:val="21"/>
                <w:szCs w:val="21"/>
                <w:lang w:eastAsia="en-US"/>
              </w:rPr>
            </w:pPr>
          </w:p>
        </w:tc>
        <w:tc>
          <w:tcPr>
            <w:tcW w:w="7513" w:type="dxa"/>
            <w:gridSpan w:val="5"/>
            <w:tcBorders>
              <w:top w:val="dotted" w:sz="4" w:space="0" w:color="auto"/>
            </w:tcBorders>
          </w:tcPr>
          <w:p w14:paraId="22DA9138" w14:textId="500533BF" w:rsidR="00D97CCF" w:rsidRDefault="005A06C7" w:rsidP="00D97CCF">
            <w:pPr>
              <w:spacing w:before="20" w:after="20"/>
              <w:jc w:val="both"/>
              <w:rPr>
                <w:rFonts w:ascii="Arial" w:hAnsi="Arial" w:cs="Arial"/>
                <w:color w:val="000000"/>
                <w:sz w:val="20"/>
                <w:szCs w:val="20"/>
                <w:lang w:eastAsia="en-US"/>
              </w:rPr>
            </w:pPr>
            <w:r>
              <w:rPr>
                <w:rFonts w:ascii="Arial" w:hAnsi="Arial" w:cs="Arial"/>
                <w:color w:val="000000"/>
                <w:sz w:val="20"/>
                <w:szCs w:val="20"/>
                <w:lang w:eastAsia="en-US"/>
              </w:rPr>
              <w:t>Komisija skaidro, ka līguma izpildē nav pieļaujama tādu</w:t>
            </w:r>
            <w:r w:rsidR="00D97CCF">
              <w:rPr>
                <w:rFonts w:ascii="Arial" w:hAnsi="Arial" w:cs="Arial"/>
                <w:color w:val="000000"/>
                <w:sz w:val="20"/>
                <w:szCs w:val="20"/>
                <w:lang w:eastAsia="en-US"/>
              </w:rPr>
              <w:t xml:space="preserve"> produktu, piemēram, sieru</w:t>
            </w:r>
            <w:r>
              <w:rPr>
                <w:rFonts w:ascii="Arial" w:hAnsi="Arial" w:cs="Arial"/>
                <w:color w:val="000000"/>
                <w:sz w:val="20"/>
                <w:szCs w:val="20"/>
                <w:lang w:eastAsia="en-US"/>
              </w:rPr>
              <w:t xml:space="preserve"> lietošana, k</w:t>
            </w:r>
            <w:r w:rsidR="00D97CCF">
              <w:rPr>
                <w:rFonts w:ascii="Arial" w:hAnsi="Arial" w:cs="Arial"/>
                <w:color w:val="000000"/>
                <w:sz w:val="20"/>
                <w:szCs w:val="20"/>
                <w:lang w:eastAsia="en-US"/>
              </w:rPr>
              <w:t xml:space="preserve">urus pretendents nav </w:t>
            </w:r>
            <w:r>
              <w:rPr>
                <w:rFonts w:ascii="Arial" w:hAnsi="Arial" w:cs="Arial"/>
                <w:color w:val="000000"/>
                <w:sz w:val="20"/>
                <w:szCs w:val="20"/>
                <w:lang w:eastAsia="en-US"/>
              </w:rPr>
              <w:t>norādī</w:t>
            </w:r>
            <w:r w:rsidR="00D97CCF">
              <w:rPr>
                <w:rFonts w:ascii="Arial" w:hAnsi="Arial" w:cs="Arial"/>
                <w:color w:val="000000"/>
                <w:sz w:val="20"/>
                <w:szCs w:val="20"/>
                <w:lang w:eastAsia="en-US"/>
              </w:rPr>
              <w:t>jis</w:t>
            </w:r>
            <w:r>
              <w:rPr>
                <w:rFonts w:ascii="Arial" w:hAnsi="Arial" w:cs="Arial"/>
                <w:color w:val="000000"/>
                <w:sz w:val="20"/>
                <w:szCs w:val="20"/>
                <w:lang w:eastAsia="en-US"/>
              </w:rPr>
              <w:t xml:space="preserve">  minētajā sarakstā</w:t>
            </w:r>
            <w:r w:rsidR="00D97CCF">
              <w:rPr>
                <w:rFonts w:ascii="Arial" w:hAnsi="Arial" w:cs="Arial"/>
                <w:color w:val="000000"/>
                <w:sz w:val="20"/>
                <w:szCs w:val="20"/>
                <w:lang w:eastAsia="en-US"/>
              </w:rPr>
              <w:t>. Aicinām pretendentus</w:t>
            </w:r>
            <w:r w:rsidR="00782552">
              <w:rPr>
                <w:rFonts w:ascii="Arial" w:hAnsi="Arial" w:cs="Arial"/>
                <w:color w:val="000000"/>
                <w:sz w:val="20"/>
                <w:szCs w:val="20"/>
                <w:lang w:eastAsia="en-US"/>
              </w:rPr>
              <w:t>,</w:t>
            </w:r>
            <w:r w:rsidR="00D97CCF">
              <w:rPr>
                <w:rFonts w:ascii="Arial" w:hAnsi="Arial" w:cs="Arial"/>
                <w:color w:val="000000"/>
                <w:sz w:val="20"/>
                <w:szCs w:val="20"/>
                <w:lang w:eastAsia="en-US"/>
              </w:rPr>
              <w:t xml:space="preserve"> sagatavojot ēdienkartes, </w:t>
            </w:r>
            <w:r w:rsidR="006D403A">
              <w:rPr>
                <w:rFonts w:ascii="Arial" w:hAnsi="Arial" w:cs="Arial"/>
                <w:color w:val="000000"/>
                <w:sz w:val="20"/>
                <w:szCs w:val="20"/>
                <w:lang w:eastAsia="en-US"/>
              </w:rPr>
              <w:t>atkarībā no tā</w:t>
            </w:r>
            <w:r w:rsidR="00782552">
              <w:rPr>
                <w:rFonts w:ascii="Arial" w:hAnsi="Arial" w:cs="Arial"/>
                <w:color w:val="000000"/>
                <w:sz w:val="20"/>
                <w:szCs w:val="20"/>
                <w:lang w:eastAsia="en-US"/>
              </w:rPr>
              <w:t>,</w:t>
            </w:r>
            <w:r w:rsidR="006D403A">
              <w:rPr>
                <w:rFonts w:ascii="Arial" w:hAnsi="Arial" w:cs="Arial"/>
                <w:color w:val="000000"/>
                <w:sz w:val="20"/>
                <w:szCs w:val="20"/>
                <w:lang w:eastAsia="en-US"/>
              </w:rPr>
              <w:t xml:space="preserve"> kādi ēdieni tiek piedāvāti, </w:t>
            </w:r>
            <w:r w:rsidR="00782552">
              <w:rPr>
                <w:rFonts w:ascii="Arial" w:hAnsi="Arial" w:cs="Arial"/>
                <w:color w:val="000000"/>
                <w:sz w:val="20"/>
                <w:szCs w:val="20"/>
                <w:lang w:eastAsia="en-US"/>
              </w:rPr>
              <w:t>izvērtēt</w:t>
            </w:r>
            <w:r w:rsidR="00782552">
              <w:rPr>
                <w:rFonts w:ascii="Arial" w:hAnsi="Arial" w:cs="Arial"/>
                <w:color w:val="000000"/>
                <w:sz w:val="20"/>
                <w:szCs w:val="20"/>
                <w:lang w:eastAsia="en-US"/>
              </w:rPr>
              <w:t>,</w:t>
            </w:r>
            <w:r w:rsidR="00782552">
              <w:rPr>
                <w:rFonts w:ascii="Arial" w:hAnsi="Arial" w:cs="Arial"/>
                <w:color w:val="000000"/>
                <w:sz w:val="20"/>
                <w:szCs w:val="20"/>
                <w:lang w:eastAsia="en-US"/>
              </w:rPr>
              <w:t xml:space="preserve"> </w:t>
            </w:r>
            <w:r w:rsidR="006D403A">
              <w:rPr>
                <w:rFonts w:ascii="Arial" w:hAnsi="Arial" w:cs="Arial"/>
                <w:color w:val="000000"/>
                <w:sz w:val="20"/>
                <w:szCs w:val="20"/>
                <w:lang w:eastAsia="en-US"/>
              </w:rPr>
              <w:t xml:space="preserve">kādi produkti iekļaujami nolikuma 6.pielikumā, ņemot vērā to kušanas īpašības </w:t>
            </w:r>
            <w:proofErr w:type="spellStart"/>
            <w:r w:rsidR="006D403A">
              <w:rPr>
                <w:rFonts w:ascii="Arial" w:hAnsi="Arial" w:cs="Arial"/>
                <w:color w:val="000000"/>
                <w:sz w:val="20"/>
                <w:szCs w:val="20"/>
                <w:lang w:eastAsia="en-US"/>
              </w:rPr>
              <w:t>utml</w:t>
            </w:r>
            <w:proofErr w:type="spellEnd"/>
            <w:r w:rsidR="006D403A">
              <w:rPr>
                <w:rFonts w:ascii="Arial" w:hAnsi="Arial" w:cs="Arial"/>
                <w:color w:val="000000"/>
                <w:sz w:val="20"/>
                <w:szCs w:val="20"/>
                <w:lang w:eastAsia="en-US"/>
              </w:rPr>
              <w:t>.</w:t>
            </w:r>
            <w:r w:rsidR="00D97CCF">
              <w:rPr>
                <w:rFonts w:ascii="Arial" w:hAnsi="Arial" w:cs="Arial"/>
                <w:color w:val="000000"/>
                <w:sz w:val="20"/>
                <w:szCs w:val="20"/>
                <w:lang w:eastAsia="en-US"/>
              </w:rPr>
              <w:t xml:space="preserve"> </w:t>
            </w:r>
          </w:p>
          <w:p w14:paraId="0DEFACE9" w14:textId="2F354D0A" w:rsidR="00D97CCF" w:rsidRDefault="00D97CCF" w:rsidP="00D97CCF">
            <w:pPr>
              <w:spacing w:before="20" w:after="20"/>
              <w:jc w:val="both"/>
              <w:rPr>
                <w:rFonts w:ascii="Arial" w:eastAsia="Calibri" w:hAnsi="Arial" w:cs="Arial"/>
                <w:bCs/>
                <w:sz w:val="20"/>
                <w:szCs w:val="20"/>
                <w:lang w:eastAsia="ar-SA"/>
              </w:rPr>
            </w:pPr>
            <w:r>
              <w:rPr>
                <w:rFonts w:ascii="Arial" w:hAnsi="Arial" w:cs="Arial"/>
                <w:color w:val="000000"/>
                <w:sz w:val="20"/>
                <w:szCs w:val="20"/>
                <w:lang w:eastAsia="en-US"/>
              </w:rPr>
              <w:t xml:space="preserve">Nolikuma 17.pielikuma “Līgumprojekts” 4.20 punktā noteikts </w:t>
            </w:r>
            <w:r w:rsidRPr="00D97CCF">
              <w:rPr>
                <w:rFonts w:ascii="Arial" w:hAnsi="Arial" w:cs="Arial"/>
                <w:color w:val="000000"/>
                <w:sz w:val="20"/>
                <w:szCs w:val="20"/>
                <w:lang w:eastAsia="en-US"/>
              </w:rPr>
              <w:t>“</w:t>
            </w:r>
            <w:r w:rsidRPr="00D97CCF">
              <w:rPr>
                <w:rFonts w:ascii="Arial" w:eastAsia="Calibri" w:hAnsi="Arial" w:cs="Arial"/>
                <w:i/>
                <w:iCs/>
                <w:sz w:val="20"/>
                <w:szCs w:val="20"/>
              </w:rPr>
              <w:t xml:space="preserve">PAKALPOJUMA SNIEDZĒJAM visā </w:t>
            </w:r>
            <w:r w:rsidRPr="00D97CCF">
              <w:rPr>
                <w:rFonts w:ascii="Arial" w:eastAsia="Calibri" w:hAnsi="Arial" w:cs="Arial"/>
                <w:i/>
                <w:iCs/>
                <w:sz w:val="20"/>
                <w:szCs w:val="20"/>
                <w:u w:val="single"/>
              </w:rPr>
              <w:t>līguma izpildes laikā</w:t>
            </w:r>
            <w:r w:rsidRPr="00D97CCF">
              <w:rPr>
                <w:rFonts w:ascii="Arial" w:eastAsia="Calibri" w:hAnsi="Arial" w:cs="Arial"/>
                <w:bCs/>
                <w:i/>
                <w:iCs/>
                <w:sz w:val="20"/>
                <w:szCs w:val="20"/>
                <w:u w:val="single"/>
                <w:lang w:eastAsia="ar-SA"/>
              </w:rPr>
              <w:t xml:space="preserve"> 100 </w:t>
            </w:r>
            <w:r w:rsidRPr="00D97CCF">
              <w:rPr>
                <w:rFonts w:ascii="Arial" w:eastAsia="Calibri" w:hAnsi="Arial" w:cs="Arial"/>
                <w:i/>
                <w:iCs/>
                <w:sz w:val="20"/>
                <w:szCs w:val="20"/>
                <w:u w:val="single"/>
              </w:rPr>
              <w:t xml:space="preserve">% (simts procentu) apmērā </w:t>
            </w:r>
            <w:r w:rsidRPr="00D97CCF">
              <w:rPr>
                <w:rFonts w:ascii="Arial" w:eastAsia="Calibri" w:hAnsi="Arial" w:cs="Arial"/>
                <w:bCs/>
                <w:i/>
                <w:iCs/>
                <w:sz w:val="20"/>
                <w:szCs w:val="20"/>
                <w:u w:val="single"/>
                <w:lang w:eastAsia="ar-SA"/>
              </w:rPr>
              <w:t xml:space="preserve"> </w:t>
            </w:r>
            <w:r w:rsidRPr="00D97CCF">
              <w:rPr>
                <w:rFonts w:ascii="Arial" w:eastAsia="Calibri" w:hAnsi="Arial" w:cs="Arial"/>
                <w:i/>
                <w:iCs/>
                <w:sz w:val="20"/>
                <w:szCs w:val="20"/>
                <w:u w:val="single"/>
              </w:rPr>
              <w:t>ir saistoša informācija atbilstoši PAKALPOJUMA SNIEDZĒJA iesniegtajam piedāvājumam</w:t>
            </w:r>
            <w:r w:rsidRPr="00D97CCF">
              <w:rPr>
                <w:rFonts w:ascii="Arial" w:eastAsia="Calibri" w:hAnsi="Arial" w:cs="Arial"/>
                <w:i/>
                <w:iCs/>
                <w:sz w:val="20"/>
                <w:szCs w:val="20"/>
              </w:rPr>
              <w:t xml:space="preserve"> iepirkumā</w:t>
            </w:r>
            <w:r w:rsidRPr="00D97CCF">
              <w:rPr>
                <w:rFonts w:ascii="Arial" w:eastAsia="Calibri" w:hAnsi="Arial" w:cs="Arial"/>
                <w:bCs/>
                <w:i/>
                <w:iCs/>
                <w:sz w:val="20"/>
                <w:szCs w:val="20"/>
                <w:lang w:eastAsia="ar-SA"/>
              </w:rPr>
              <w:t xml:space="preserve"> (līguma 7.pielikums), attiecībā par </w:t>
            </w:r>
            <w:r w:rsidRPr="00D97CCF">
              <w:rPr>
                <w:i/>
                <w:iCs/>
              </w:rPr>
              <w:t xml:space="preserve"> </w:t>
            </w:r>
            <w:r w:rsidRPr="00D97CCF">
              <w:rPr>
                <w:rFonts w:ascii="Arial" w:eastAsia="Calibri" w:hAnsi="Arial" w:cs="Arial"/>
                <w:i/>
                <w:iCs/>
                <w:sz w:val="20"/>
                <w:szCs w:val="20"/>
              </w:rPr>
              <w:t xml:space="preserve">bioloģiskās lauksaimniecības shēmas (BLS), nacionālās pārtikas kvalitātes shēmas (NPKS) vai lauksaimniecības produktu integrētās audzēšanas (LPIA) prasībām atbilstošo produktu piegādi no norādītā audzētāja/ražotāja un attiecībā uz Tabulā norādīto piegādes attālumu, to nepārsniedzot. </w:t>
            </w:r>
            <w:r w:rsidRPr="00D97CCF">
              <w:rPr>
                <w:rFonts w:ascii="Arial" w:eastAsia="Calibri" w:hAnsi="Arial" w:cs="Arial"/>
                <w:bCs/>
                <w:i/>
                <w:iCs/>
                <w:sz w:val="20"/>
                <w:szCs w:val="20"/>
                <w:lang w:eastAsia="ar-SA"/>
              </w:rPr>
              <w:t>Tabulas 1.produktu grupā norādītie produkti jāpiegādā Tabulā norādītajā attālumā no norādītā audzētāja/ražotāja tajā periodā, kad šie produkti pieejami atbilstoši sezonai (gadalaikam un norādītajam mēnesim) saskaņā ar Zemkopības ministrijas izstrādāto vietējo augļu, ogu un dārzeņu pieejamības kalendāru, kurš publicēts Iepirkumu uzraudzības biroja mājaslapā</w:t>
            </w:r>
            <w:r w:rsidRPr="00D97CCF">
              <w:rPr>
                <w:rFonts w:ascii="Arial" w:eastAsia="Calibri" w:hAnsi="Arial" w:cs="Arial"/>
                <w:bCs/>
                <w:sz w:val="20"/>
                <w:szCs w:val="20"/>
                <w:lang w:eastAsia="ar-SA"/>
              </w:rPr>
              <w:t>”</w:t>
            </w:r>
            <w:r>
              <w:rPr>
                <w:rFonts w:ascii="Arial" w:eastAsia="Calibri" w:hAnsi="Arial" w:cs="Arial"/>
                <w:bCs/>
                <w:sz w:val="20"/>
                <w:szCs w:val="20"/>
                <w:lang w:eastAsia="ar-SA"/>
              </w:rPr>
              <w:t>.</w:t>
            </w:r>
          </w:p>
          <w:p w14:paraId="2AD94CC7" w14:textId="77777777" w:rsidR="00D97CCF" w:rsidRDefault="00D97CCF" w:rsidP="00D97CCF">
            <w:pPr>
              <w:spacing w:before="20" w:after="20"/>
              <w:jc w:val="both"/>
              <w:rPr>
                <w:rFonts w:ascii="Arial" w:eastAsia="Calibri" w:hAnsi="Arial" w:cs="Arial"/>
                <w:bCs/>
                <w:sz w:val="20"/>
                <w:szCs w:val="20"/>
                <w:lang w:eastAsia="ar-SA"/>
              </w:rPr>
            </w:pPr>
          </w:p>
          <w:p w14:paraId="7491465E" w14:textId="5846B806" w:rsidR="00D97CCF" w:rsidRDefault="00D97CCF" w:rsidP="00D97CCF">
            <w:pPr>
              <w:spacing w:before="20" w:after="20"/>
              <w:jc w:val="both"/>
              <w:rPr>
                <w:rFonts w:ascii="Arial" w:eastAsia="Calibri" w:hAnsi="Arial" w:cs="Arial"/>
                <w:sz w:val="20"/>
                <w:szCs w:val="20"/>
              </w:rPr>
            </w:pPr>
            <w:r>
              <w:rPr>
                <w:rFonts w:ascii="Arial" w:eastAsia="Calibri" w:hAnsi="Arial" w:cs="Arial"/>
                <w:bCs/>
                <w:sz w:val="20"/>
                <w:szCs w:val="20"/>
                <w:lang w:eastAsia="ar-SA"/>
              </w:rPr>
              <w:t xml:space="preserve">Līgumprojekta </w:t>
            </w:r>
            <w:r>
              <w:rPr>
                <w:rFonts w:ascii="Arial" w:eastAsia="Calibri" w:hAnsi="Arial" w:cs="Arial"/>
                <w:sz w:val="20"/>
                <w:szCs w:val="20"/>
              </w:rPr>
              <w:t>7.1.1. punktā noteikts “</w:t>
            </w:r>
            <w:r w:rsidRPr="00D97CCF">
              <w:rPr>
                <w:rFonts w:ascii="Arial" w:eastAsia="Calibri" w:hAnsi="Arial" w:cs="Arial"/>
                <w:i/>
                <w:iCs/>
                <w:sz w:val="20"/>
                <w:szCs w:val="20"/>
              </w:rPr>
              <w:t xml:space="preserve">ja PAKALPOJUMA SNIEDZĒJS neievēro kādu no līguma 4.16., 4.18.,  4.19., </w:t>
            </w:r>
            <w:r w:rsidRPr="00D97CCF">
              <w:rPr>
                <w:rFonts w:ascii="Arial" w:eastAsia="Calibri" w:hAnsi="Arial" w:cs="Arial"/>
                <w:i/>
                <w:iCs/>
                <w:sz w:val="20"/>
                <w:szCs w:val="20"/>
                <w:u w:val="single"/>
              </w:rPr>
              <w:t>4.20</w:t>
            </w:r>
            <w:r w:rsidRPr="00D97CCF">
              <w:rPr>
                <w:rFonts w:ascii="Arial" w:eastAsia="Calibri" w:hAnsi="Arial" w:cs="Arial"/>
                <w:b/>
                <w:bCs/>
                <w:i/>
                <w:iCs/>
                <w:sz w:val="20"/>
                <w:szCs w:val="20"/>
              </w:rPr>
              <w:t>.</w:t>
            </w:r>
            <w:r w:rsidRPr="00D97CCF">
              <w:rPr>
                <w:rFonts w:ascii="Arial" w:eastAsia="Calibri" w:hAnsi="Arial" w:cs="Arial"/>
                <w:i/>
                <w:iCs/>
                <w:sz w:val="20"/>
                <w:szCs w:val="20"/>
              </w:rPr>
              <w:t xml:space="preserve">, 4.21.,4.22., 4.23., 4.24., 4.25., 4.26., 4.27., 4.32., 4.33. punktiem, PAKALPOJUMA ŅĒMĒJAM ir tiesības piemērot  PAKALPOJUMA SNIEDZĒJAM vienreizēju līgumsodu 10,00 EUR (desmit </w:t>
            </w:r>
            <w:proofErr w:type="spellStart"/>
            <w:r w:rsidRPr="00D97CCF">
              <w:rPr>
                <w:rFonts w:ascii="Arial" w:eastAsia="Calibri" w:hAnsi="Arial" w:cs="Arial"/>
                <w:i/>
                <w:iCs/>
                <w:sz w:val="20"/>
                <w:szCs w:val="20"/>
              </w:rPr>
              <w:t>euro</w:t>
            </w:r>
            <w:proofErr w:type="spellEnd"/>
            <w:r w:rsidRPr="00D97CCF">
              <w:rPr>
                <w:rFonts w:ascii="Arial" w:eastAsia="Calibri" w:hAnsi="Arial" w:cs="Arial"/>
                <w:i/>
                <w:iCs/>
                <w:sz w:val="20"/>
                <w:szCs w:val="20"/>
              </w:rPr>
              <w:t>) apmērā par katru šādu gadījumu pēc līguma 3.14.punktā noteiktā akta sastādīšanas</w:t>
            </w:r>
            <w:r>
              <w:rPr>
                <w:rFonts w:ascii="Arial" w:eastAsia="Calibri" w:hAnsi="Arial" w:cs="Arial"/>
                <w:sz w:val="20"/>
                <w:szCs w:val="20"/>
              </w:rPr>
              <w:t>”</w:t>
            </w:r>
          </w:p>
          <w:p w14:paraId="2C0EAA9A" w14:textId="77777777" w:rsidR="00D97CCF" w:rsidRDefault="00D97CCF" w:rsidP="00D97CCF">
            <w:pPr>
              <w:spacing w:before="20" w:after="20"/>
              <w:jc w:val="both"/>
              <w:rPr>
                <w:rFonts w:ascii="Arial" w:eastAsia="Calibri" w:hAnsi="Arial" w:cs="Arial"/>
                <w:sz w:val="20"/>
                <w:szCs w:val="20"/>
              </w:rPr>
            </w:pPr>
          </w:p>
          <w:p w14:paraId="429E8828" w14:textId="4783C27C" w:rsidR="00D97CCF" w:rsidRPr="009E581B" w:rsidRDefault="00D97CCF" w:rsidP="00D97CCF">
            <w:pPr>
              <w:spacing w:before="20" w:after="20"/>
              <w:jc w:val="both"/>
              <w:rPr>
                <w:rFonts w:ascii="Arial" w:eastAsia="Calibri" w:hAnsi="Arial" w:cs="Arial"/>
                <w:strike/>
                <w:sz w:val="20"/>
                <w:szCs w:val="20"/>
              </w:rPr>
            </w:pPr>
            <w:r>
              <w:rPr>
                <w:rFonts w:ascii="Arial" w:eastAsia="Calibri" w:hAnsi="Arial" w:cs="Arial"/>
                <w:sz w:val="20"/>
                <w:szCs w:val="20"/>
              </w:rPr>
              <w:t xml:space="preserve">Līgumprojekta </w:t>
            </w:r>
            <w:r w:rsidRPr="00D97CCF">
              <w:rPr>
                <w:rFonts w:ascii="Arial" w:eastAsia="Calibri" w:hAnsi="Arial" w:cs="Arial"/>
                <w:sz w:val="20"/>
                <w:szCs w:val="20"/>
              </w:rPr>
              <w:t>7.2.8. punktā noteikts “</w:t>
            </w:r>
            <w:r w:rsidRPr="00D97CCF">
              <w:rPr>
                <w:rFonts w:ascii="Arial" w:eastAsia="Calibri" w:hAnsi="Arial" w:cs="Arial"/>
                <w:i/>
                <w:iCs/>
                <w:sz w:val="20"/>
                <w:szCs w:val="20"/>
              </w:rPr>
              <w:t xml:space="preserve">ja līguma 7.1.1. punktā minētie gadījumi atkārtojas vairāk kā  3 (trīs) reizes, PAKALPOJUMA ŅĒMĒJAM </w:t>
            </w:r>
            <w:r w:rsidRPr="006D403A">
              <w:rPr>
                <w:rFonts w:ascii="Arial" w:eastAsia="Calibri" w:hAnsi="Arial" w:cs="Arial"/>
                <w:i/>
                <w:iCs/>
                <w:sz w:val="20"/>
                <w:szCs w:val="20"/>
                <w:u w:val="single"/>
              </w:rPr>
              <w:t>ir tiesības vienpusēji atkāpties no līguma,</w:t>
            </w:r>
            <w:r w:rsidRPr="00D97CCF">
              <w:rPr>
                <w:rFonts w:ascii="Arial" w:eastAsia="Calibri" w:hAnsi="Arial" w:cs="Arial"/>
                <w:i/>
                <w:iCs/>
                <w:sz w:val="20"/>
                <w:szCs w:val="20"/>
              </w:rPr>
              <w:t xml:space="preserve"> rakstiski paziņojot  par to otrai pusei 1 (vienu) mēnesi iepriekš</w:t>
            </w:r>
            <w:r w:rsidRPr="00D97CCF">
              <w:rPr>
                <w:rFonts w:ascii="Arial" w:eastAsia="Calibri" w:hAnsi="Arial" w:cs="Arial"/>
                <w:sz w:val="20"/>
                <w:szCs w:val="20"/>
              </w:rPr>
              <w:t>”.</w:t>
            </w:r>
          </w:p>
          <w:p w14:paraId="03E57718" w14:textId="00A8F414" w:rsidR="00D97CCF" w:rsidRDefault="00D97CCF" w:rsidP="00D97CCF">
            <w:pPr>
              <w:spacing w:before="20" w:after="20"/>
              <w:jc w:val="both"/>
              <w:rPr>
                <w:rFonts w:ascii="Arial" w:hAnsi="Arial" w:cs="Arial"/>
                <w:color w:val="000000"/>
                <w:sz w:val="20"/>
                <w:szCs w:val="20"/>
                <w:lang w:eastAsia="en-US"/>
              </w:rPr>
            </w:pPr>
          </w:p>
        </w:tc>
      </w:tr>
      <w:tr w:rsidR="00DD4878" w:rsidRPr="00DC52B1" w14:paraId="0E9219B7" w14:textId="77777777" w:rsidTr="00BC6B1F">
        <w:tc>
          <w:tcPr>
            <w:tcW w:w="9322" w:type="dxa"/>
            <w:gridSpan w:val="6"/>
            <w:shd w:val="clear" w:color="auto" w:fill="CCFFCC"/>
          </w:tcPr>
          <w:p w14:paraId="6053EC03" w14:textId="77777777" w:rsidR="00DD4878" w:rsidRPr="00DC52B1" w:rsidRDefault="00DD4878" w:rsidP="00BC6B1F">
            <w:pPr>
              <w:tabs>
                <w:tab w:val="left" w:pos="2552"/>
              </w:tabs>
              <w:suppressAutoHyphens/>
              <w:autoSpaceDE w:val="0"/>
              <w:jc w:val="both"/>
              <w:rPr>
                <w:rFonts w:ascii="Arial" w:hAnsi="Arial" w:cs="Arial"/>
                <w:b/>
                <w:bCs/>
                <w:sz w:val="12"/>
                <w:szCs w:val="12"/>
                <w:lang w:eastAsia="ar-SA"/>
              </w:rPr>
            </w:pPr>
          </w:p>
        </w:tc>
      </w:tr>
      <w:tr w:rsidR="00DD4878" w:rsidRPr="00882B86" w14:paraId="5F696985" w14:textId="77777777" w:rsidTr="00BC6B1F">
        <w:trPr>
          <w:trHeight w:val="739"/>
        </w:trPr>
        <w:tc>
          <w:tcPr>
            <w:tcW w:w="1809" w:type="dxa"/>
          </w:tcPr>
          <w:p w14:paraId="15F1472B" w14:textId="740A4909" w:rsidR="00DD4878" w:rsidRPr="0016301D" w:rsidRDefault="00DD4878" w:rsidP="00BC6B1F">
            <w:pPr>
              <w:spacing w:before="80" w:after="80"/>
              <w:rPr>
                <w:rFonts w:ascii="Arial" w:hAnsi="Arial" w:cs="Arial"/>
                <w:b/>
                <w:bCs/>
                <w:sz w:val="21"/>
                <w:szCs w:val="21"/>
                <w:lang w:eastAsia="en-US"/>
              </w:rPr>
            </w:pPr>
            <w:r w:rsidRPr="00D7301C">
              <w:rPr>
                <w:rFonts w:ascii="Arial" w:hAnsi="Arial" w:cs="Arial"/>
                <w:b/>
                <w:bCs/>
                <w:sz w:val="21"/>
                <w:szCs w:val="21"/>
                <w:lang w:eastAsia="en-US"/>
              </w:rPr>
              <w:t>Skaidrojums</w:t>
            </w:r>
            <w:r>
              <w:rPr>
                <w:rFonts w:ascii="Arial" w:hAnsi="Arial" w:cs="Arial"/>
                <w:b/>
                <w:bCs/>
                <w:sz w:val="21"/>
                <w:szCs w:val="21"/>
                <w:lang w:eastAsia="en-US"/>
              </w:rPr>
              <w:t xml:space="preserve"> 3</w:t>
            </w:r>
          </w:p>
        </w:tc>
        <w:tc>
          <w:tcPr>
            <w:tcW w:w="7513" w:type="dxa"/>
            <w:gridSpan w:val="5"/>
          </w:tcPr>
          <w:p w14:paraId="30B744A5" w14:textId="0DBFEED8" w:rsidR="00DD4878" w:rsidRDefault="006D403A" w:rsidP="00BC6B1F">
            <w:pPr>
              <w:spacing w:before="20" w:after="20"/>
              <w:jc w:val="both"/>
              <w:rPr>
                <w:rFonts w:ascii="Arial" w:hAnsi="Arial" w:cs="Arial"/>
                <w:color w:val="000000"/>
                <w:sz w:val="20"/>
                <w:szCs w:val="20"/>
                <w:lang w:eastAsia="en-US"/>
              </w:rPr>
            </w:pPr>
            <w:r>
              <w:rPr>
                <w:rFonts w:ascii="Arial" w:hAnsi="Arial" w:cs="Arial"/>
                <w:color w:val="000000"/>
                <w:sz w:val="20"/>
                <w:szCs w:val="20"/>
                <w:lang w:eastAsia="en-US"/>
              </w:rPr>
              <w:t>Nolikuma 5</w:t>
            </w:r>
            <w:r w:rsidR="00FC185B">
              <w:rPr>
                <w:rFonts w:ascii="Arial" w:hAnsi="Arial" w:cs="Arial"/>
                <w:color w:val="000000"/>
                <w:sz w:val="20"/>
                <w:szCs w:val="20"/>
                <w:lang w:eastAsia="en-US"/>
              </w:rPr>
              <w:t>.</w:t>
            </w:r>
            <w:r>
              <w:rPr>
                <w:rFonts w:ascii="Arial" w:hAnsi="Arial" w:cs="Arial"/>
                <w:color w:val="000000"/>
                <w:sz w:val="20"/>
                <w:szCs w:val="20"/>
                <w:lang w:eastAsia="en-US"/>
              </w:rPr>
              <w:t xml:space="preserve"> pielikuma “Tehniskā specifikācija” 14. punktā noteikts “</w:t>
            </w:r>
            <w:r w:rsidRPr="006D403A">
              <w:rPr>
                <w:rFonts w:ascii="Arial" w:hAnsi="Arial" w:cs="Arial"/>
                <w:color w:val="000000"/>
                <w:sz w:val="20"/>
                <w:szCs w:val="20"/>
                <w:lang w:eastAsia="en-US"/>
              </w:rPr>
              <w:t xml:space="preserve">Brīvpusdienu, kuras pašvaldība piešķir izglītojamiem, un komplekso pusdienu cena un sortiments ir identisks. </w:t>
            </w:r>
            <w:r w:rsidRPr="006D403A">
              <w:rPr>
                <w:rFonts w:ascii="Arial" w:hAnsi="Arial" w:cs="Arial"/>
                <w:color w:val="000000"/>
                <w:sz w:val="20"/>
                <w:szCs w:val="20"/>
                <w:u w:val="single"/>
                <w:lang w:eastAsia="en-US"/>
              </w:rPr>
              <w:t>Visiem ēdieniem un dzērieniem no piedāvātās komplekso pusdienu vienas nedēļas ēdienkartes 5. – 9. un 10. – 12. klašu izglītojamiem jāietilpst arī attiecīgās dienas izvēles ēdienkartē</w:t>
            </w:r>
            <w:r>
              <w:rPr>
                <w:rFonts w:ascii="Arial" w:hAnsi="Arial" w:cs="Arial"/>
                <w:color w:val="000000"/>
                <w:sz w:val="20"/>
                <w:szCs w:val="20"/>
                <w:lang w:eastAsia="en-US"/>
              </w:rPr>
              <w:t>”</w:t>
            </w:r>
            <w:r w:rsidRPr="006D403A">
              <w:rPr>
                <w:rFonts w:ascii="Arial" w:hAnsi="Arial" w:cs="Arial"/>
                <w:color w:val="000000"/>
                <w:sz w:val="20"/>
                <w:szCs w:val="20"/>
                <w:lang w:eastAsia="en-US"/>
              </w:rPr>
              <w:t>.</w:t>
            </w:r>
          </w:p>
          <w:p w14:paraId="73F50B30" w14:textId="2C211D22" w:rsidR="006D403A" w:rsidRDefault="006D403A" w:rsidP="00354466">
            <w:pPr>
              <w:ind w:right="-4"/>
              <w:jc w:val="both"/>
              <w:rPr>
                <w:rFonts w:ascii="Arial" w:hAnsi="Arial" w:cs="Arial"/>
                <w:sz w:val="20"/>
                <w:szCs w:val="20"/>
              </w:rPr>
            </w:pPr>
            <w:r>
              <w:rPr>
                <w:rFonts w:ascii="Arial" w:hAnsi="Arial" w:cs="Arial"/>
                <w:color w:val="000000"/>
                <w:sz w:val="20"/>
                <w:szCs w:val="20"/>
                <w:lang w:eastAsia="en-US"/>
              </w:rPr>
              <w:t xml:space="preserve">Un </w:t>
            </w:r>
            <w:r w:rsidRPr="00710EAB">
              <w:rPr>
                <w:rFonts w:ascii="Arial" w:hAnsi="Arial" w:cs="Arial"/>
                <w:sz w:val="20"/>
                <w:szCs w:val="20"/>
              </w:rPr>
              <w:t xml:space="preserve">nolikuma </w:t>
            </w:r>
            <w:r w:rsidRPr="006D403A">
              <w:rPr>
                <w:rFonts w:ascii="Arial" w:hAnsi="Arial" w:cs="Arial"/>
                <w:bCs/>
                <w:sz w:val="20"/>
                <w:szCs w:val="20"/>
              </w:rPr>
              <w:t>2.pielikumā “Finanšu piedāvājums”</w:t>
            </w:r>
            <w:r>
              <w:rPr>
                <w:rFonts w:ascii="Arial" w:hAnsi="Arial" w:cs="Arial"/>
                <w:bCs/>
                <w:sz w:val="20"/>
                <w:szCs w:val="20"/>
              </w:rPr>
              <w:t xml:space="preserve"> </w:t>
            </w:r>
            <w:r w:rsidR="00FC185B">
              <w:rPr>
                <w:rFonts w:ascii="Arial" w:hAnsi="Arial" w:cs="Arial"/>
                <w:bCs/>
                <w:sz w:val="20"/>
                <w:szCs w:val="20"/>
              </w:rPr>
              <w:t>ir noteikts “</w:t>
            </w:r>
            <w:r w:rsidRPr="00143A2C">
              <w:rPr>
                <w:rFonts w:ascii="Arial" w:hAnsi="Arial" w:cs="Arial"/>
                <w:sz w:val="20"/>
                <w:szCs w:val="20"/>
              </w:rPr>
              <w:t xml:space="preserve">Pusdienu, kuras pašvaldība piešķir izglītojamiem, un komplekso pusdienu </w:t>
            </w:r>
            <w:r w:rsidRPr="004255AA">
              <w:rPr>
                <w:rFonts w:ascii="Arial" w:hAnsi="Arial" w:cs="Arial"/>
                <w:b/>
                <w:sz w:val="20"/>
                <w:szCs w:val="20"/>
                <w:u w:val="single"/>
              </w:rPr>
              <w:t>sortiments ir identisks</w:t>
            </w:r>
            <w:r w:rsidRPr="00143A2C">
              <w:rPr>
                <w:rFonts w:ascii="Arial" w:hAnsi="Arial" w:cs="Arial"/>
                <w:sz w:val="20"/>
                <w:szCs w:val="20"/>
              </w:rPr>
              <w:t xml:space="preserve">, </w:t>
            </w:r>
            <w:r>
              <w:rPr>
                <w:rFonts w:ascii="Arial" w:hAnsi="Arial" w:cs="Arial"/>
                <w:sz w:val="20"/>
                <w:szCs w:val="20"/>
              </w:rPr>
              <w:t xml:space="preserve">visi </w:t>
            </w:r>
            <w:r w:rsidRPr="00143A2C">
              <w:rPr>
                <w:rFonts w:ascii="Arial" w:hAnsi="Arial" w:cs="Arial"/>
                <w:sz w:val="20"/>
                <w:szCs w:val="20"/>
              </w:rPr>
              <w:t>tie paši ēdieni ietilpst arī attiecīgās dienas izvēles ēdienkart</w:t>
            </w:r>
            <w:r>
              <w:rPr>
                <w:rFonts w:ascii="Arial" w:hAnsi="Arial" w:cs="Arial"/>
                <w:sz w:val="20"/>
                <w:szCs w:val="20"/>
              </w:rPr>
              <w:t>ē</w:t>
            </w:r>
            <w:r w:rsidR="00FC185B">
              <w:rPr>
                <w:rFonts w:ascii="Arial" w:hAnsi="Arial" w:cs="Arial"/>
                <w:sz w:val="20"/>
                <w:szCs w:val="20"/>
              </w:rPr>
              <w:t>”</w:t>
            </w:r>
            <w:r>
              <w:rPr>
                <w:rFonts w:ascii="Arial" w:hAnsi="Arial" w:cs="Arial"/>
                <w:sz w:val="20"/>
                <w:szCs w:val="20"/>
              </w:rPr>
              <w:t>.</w:t>
            </w:r>
          </w:p>
          <w:p w14:paraId="3D256A3D" w14:textId="04AD17D9" w:rsidR="006D403A" w:rsidRPr="00882B86" w:rsidRDefault="00FC185B" w:rsidP="00BC6B1F">
            <w:pPr>
              <w:spacing w:before="20" w:after="20"/>
              <w:jc w:val="both"/>
              <w:rPr>
                <w:rFonts w:ascii="Arial" w:hAnsi="Arial" w:cs="Arial"/>
                <w:color w:val="000000"/>
                <w:sz w:val="20"/>
                <w:szCs w:val="20"/>
                <w:lang w:eastAsia="en-US"/>
              </w:rPr>
            </w:pPr>
            <w:r w:rsidRPr="00FC185B">
              <w:rPr>
                <w:rFonts w:ascii="Arial" w:hAnsi="Arial" w:cs="Arial"/>
                <w:color w:val="000000"/>
                <w:sz w:val="20"/>
                <w:szCs w:val="20"/>
                <w:lang w:eastAsia="en-US"/>
              </w:rPr>
              <w:t>Komisija skaidro, ka</w:t>
            </w:r>
            <w:r>
              <w:rPr>
                <w:rFonts w:ascii="Arial" w:hAnsi="Arial" w:cs="Arial"/>
                <w:color w:val="000000"/>
                <w:sz w:val="20"/>
                <w:szCs w:val="20"/>
                <w:lang w:eastAsia="en-US"/>
              </w:rPr>
              <w:t xml:space="preserve"> pretendentiem izvēles ēdienkartē jāiekļauj visi </w:t>
            </w:r>
            <w:r w:rsidRPr="00FC185B">
              <w:rPr>
                <w:rFonts w:ascii="Arial" w:hAnsi="Arial" w:cs="Arial"/>
                <w:color w:val="000000"/>
                <w:sz w:val="20"/>
                <w:szCs w:val="20"/>
                <w:lang w:eastAsia="en-US"/>
              </w:rPr>
              <w:t>ēdieni un dzērieni no piedāvātās komplekso pusdienu vienas nedēļas ēdienkartes</w:t>
            </w:r>
            <w:r>
              <w:rPr>
                <w:rFonts w:ascii="Arial" w:hAnsi="Arial" w:cs="Arial"/>
                <w:color w:val="000000"/>
                <w:sz w:val="20"/>
                <w:szCs w:val="20"/>
                <w:lang w:eastAsia="en-US"/>
              </w:rPr>
              <w:t>, norādot katra ēdiena cenu, uzturvērtības un enerģētisko vērtību</w:t>
            </w:r>
            <w:r w:rsidR="00354466">
              <w:rPr>
                <w:rFonts w:ascii="Arial" w:hAnsi="Arial" w:cs="Arial"/>
                <w:color w:val="000000"/>
                <w:sz w:val="20"/>
                <w:szCs w:val="20"/>
                <w:lang w:eastAsia="en-US"/>
              </w:rPr>
              <w:t xml:space="preserve">  atsevišķi</w:t>
            </w:r>
            <w:r>
              <w:rPr>
                <w:rFonts w:ascii="Arial" w:hAnsi="Arial" w:cs="Arial"/>
                <w:color w:val="000000"/>
                <w:sz w:val="20"/>
                <w:szCs w:val="20"/>
                <w:lang w:eastAsia="en-US"/>
              </w:rPr>
              <w:t xml:space="preserve">, tādejādi dodot iespēju izglītojamiem, kas pusdienas iegādājas par savu naudu, iegādāties </w:t>
            </w:r>
            <w:r w:rsidRPr="004E458F">
              <w:rPr>
                <w:rFonts w:ascii="Arial" w:hAnsi="Arial" w:cs="Arial"/>
                <w:color w:val="000000"/>
                <w:sz w:val="20"/>
                <w:szCs w:val="20"/>
                <w:u w:val="single"/>
                <w:lang w:eastAsia="en-US"/>
              </w:rPr>
              <w:t>ēdienu</w:t>
            </w:r>
            <w:r>
              <w:rPr>
                <w:rFonts w:ascii="Arial" w:hAnsi="Arial" w:cs="Arial"/>
                <w:color w:val="000000"/>
                <w:sz w:val="20"/>
                <w:szCs w:val="20"/>
                <w:lang w:eastAsia="en-US"/>
              </w:rPr>
              <w:t xml:space="preserve"> no kompleksās pusdienu ēdienkartes pēc savas izvēles.</w:t>
            </w:r>
          </w:p>
        </w:tc>
      </w:tr>
      <w:tr w:rsidR="00DD4878" w:rsidRPr="00DC52B1" w14:paraId="68A5F5AC" w14:textId="77777777" w:rsidTr="00BC6B1F">
        <w:tc>
          <w:tcPr>
            <w:tcW w:w="9322" w:type="dxa"/>
            <w:gridSpan w:val="6"/>
            <w:shd w:val="clear" w:color="auto" w:fill="CCFFCC"/>
          </w:tcPr>
          <w:p w14:paraId="6A01F878" w14:textId="77777777" w:rsidR="00DD4878" w:rsidRPr="00DC52B1" w:rsidRDefault="00DD4878" w:rsidP="00BC6B1F">
            <w:pPr>
              <w:tabs>
                <w:tab w:val="left" w:pos="2552"/>
              </w:tabs>
              <w:suppressAutoHyphens/>
              <w:autoSpaceDE w:val="0"/>
              <w:jc w:val="both"/>
              <w:rPr>
                <w:rFonts w:ascii="Arial" w:hAnsi="Arial" w:cs="Arial"/>
                <w:b/>
                <w:bCs/>
                <w:sz w:val="12"/>
                <w:szCs w:val="12"/>
                <w:lang w:eastAsia="ar-SA"/>
              </w:rPr>
            </w:pPr>
          </w:p>
        </w:tc>
      </w:tr>
    </w:tbl>
    <w:p w14:paraId="00E9A3A9" w14:textId="537DE12C" w:rsidR="00AC10BC" w:rsidRDefault="00AC10BC" w:rsidP="00E23C0B">
      <w:pPr>
        <w:spacing w:before="20" w:after="20"/>
        <w:rPr>
          <w:rFonts w:ascii="Arial" w:hAnsi="Arial" w:cs="Arial"/>
          <w:b/>
          <w:sz w:val="20"/>
          <w:szCs w:val="20"/>
          <w:lang w:eastAsia="en-US"/>
        </w:rPr>
      </w:pPr>
    </w:p>
    <w:sectPr w:rsidR="00AC10BC" w:rsidSect="004E458F">
      <w:headerReference w:type="even" r:id="rId8"/>
      <w:headerReference w:type="default" r:id="rId9"/>
      <w:footerReference w:type="even" r:id="rId10"/>
      <w:footerReference w:type="default" r:id="rId11"/>
      <w:headerReference w:type="first" r:id="rId12"/>
      <w:footerReference w:type="first" r:id="rId13"/>
      <w:pgSz w:w="11906" w:h="16838"/>
      <w:pgMar w:top="142" w:right="1274" w:bottom="1560"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4ADBC" w14:textId="77777777" w:rsidR="007B5D3A" w:rsidRDefault="007B5D3A" w:rsidP="009258C8">
      <w:r>
        <w:separator/>
      </w:r>
    </w:p>
  </w:endnote>
  <w:endnote w:type="continuationSeparator" w:id="0">
    <w:p w14:paraId="4410C9C3" w14:textId="77777777" w:rsidR="007B5D3A" w:rsidRDefault="007B5D3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EF00" w14:textId="77777777" w:rsidR="00B4657F" w:rsidRDefault="00B4657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31DE" w14:textId="6EB4227E"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2FBC" w14:textId="77777777" w:rsidR="00B4657F" w:rsidRDefault="00B465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36F47" w14:textId="77777777" w:rsidR="007B5D3A" w:rsidRDefault="007B5D3A" w:rsidP="009258C8">
      <w:r>
        <w:separator/>
      </w:r>
    </w:p>
  </w:footnote>
  <w:footnote w:type="continuationSeparator" w:id="0">
    <w:p w14:paraId="6EF874BC" w14:textId="77777777" w:rsidR="007B5D3A" w:rsidRDefault="007B5D3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1948" w14:textId="77777777" w:rsidR="00B4657F" w:rsidRDefault="00B4657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0489"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5"/>
  </w:num>
  <w:num w:numId="9">
    <w:abstractNumId w:val="6"/>
  </w:num>
  <w:num w:numId="10">
    <w:abstractNumId w:val="5"/>
  </w:num>
  <w:num w:numId="11">
    <w:abstractNumId w:val="15"/>
  </w:num>
  <w:num w:numId="12">
    <w:abstractNumId w:val="6"/>
  </w:num>
  <w:num w:numId="13">
    <w:abstractNumId w:val="13"/>
  </w:num>
  <w:num w:numId="14">
    <w:abstractNumId w:val="11"/>
  </w:num>
  <w:num w:numId="15">
    <w:abstractNumId w:val="14"/>
  </w:num>
  <w:num w:numId="16">
    <w:abstractNumId w:val="1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6C5D"/>
    <w:rsid w:val="000466AE"/>
    <w:rsid w:val="00046F67"/>
    <w:rsid w:val="00051438"/>
    <w:rsid w:val="00051DC2"/>
    <w:rsid w:val="00052C2D"/>
    <w:rsid w:val="00056628"/>
    <w:rsid w:val="000667F2"/>
    <w:rsid w:val="00067C8C"/>
    <w:rsid w:val="0007583C"/>
    <w:rsid w:val="00083723"/>
    <w:rsid w:val="0009177F"/>
    <w:rsid w:val="000A6CFF"/>
    <w:rsid w:val="000B7112"/>
    <w:rsid w:val="000C31A4"/>
    <w:rsid w:val="000C6C0F"/>
    <w:rsid w:val="000C6F96"/>
    <w:rsid w:val="000D173B"/>
    <w:rsid w:val="000D60B6"/>
    <w:rsid w:val="000E2068"/>
    <w:rsid w:val="000F232A"/>
    <w:rsid w:val="000F5CE6"/>
    <w:rsid w:val="000F761E"/>
    <w:rsid w:val="000F7E92"/>
    <w:rsid w:val="001002D7"/>
    <w:rsid w:val="00116EAC"/>
    <w:rsid w:val="00120BDB"/>
    <w:rsid w:val="00122BBD"/>
    <w:rsid w:val="00126735"/>
    <w:rsid w:val="00133187"/>
    <w:rsid w:val="00133287"/>
    <w:rsid w:val="0013367A"/>
    <w:rsid w:val="00137A06"/>
    <w:rsid w:val="00140C29"/>
    <w:rsid w:val="00142C09"/>
    <w:rsid w:val="0014680E"/>
    <w:rsid w:val="00155DC8"/>
    <w:rsid w:val="0016301D"/>
    <w:rsid w:val="00165C38"/>
    <w:rsid w:val="00170F74"/>
    <w:rsid w:val="0017391A"/>
    <w:rsid w:val="00174280"/>
    <w:rsid w:val="0017483F"/>
    <w:rsid w:val="00175F38"/>
    <w:rsid w:val="00183F4A"/>
    <w:rsid w:val="00190FFF"/>
    <w:rsid w:val="00193F8A"/>
    <w:rsid w:val="001979CE"/>
    <w:rsid w:val="001A0F4A"/>
    <w:rsid w:val="001A1CF4"/>
    <w:rsid w:val="001A2F50"/>
    <w:rsid w:val="001A7DD9"/>
    <w:rsid w:val="001B0DCB"/>
    <w:rsid w:val="001C29B2"/>
    <w:rsid w:val="001D1E08"/>
    <w:rsid w:val="001D64EF"/>
    <w:rsid w:val="001D6E78"/>
    <w:rsid w:val="001E10BE"/>
    <w:rsid w:val="001E6C76"/>
    <w:rsid w:val="001F0C1D"/>
    <w:rsid w:val="001F5D9A"/>
    <w:rsid w:val="00200FA6"/>
    <w:rsid w:val="00202C90"/>
    <w:rsid w:val="00203942"/>
    <w:rsid w:val="002127F0"/>
    <w:rsid w:val="00241932"/>
    <w:rsid w:val="0024293C"/>
    <w:rsid w:val="00242DBA"/>
    <w:rsid w:val="00253EA0"/>
    <w:rsid w:val="002607C8"/>
    <w:rsid w:val="00264CAB"/>
    <w:rsid w:val="002652A2"/>
    <w:rsid w:val="0027523D"/>
    <w:rsid w:val="00277C93"/>
    <w:rsid w:val="002809D3"/>
    <w:rsid w:val="00290F67"/>
    <w:rsid w:val="00295DBD"/>
    <w:rsid w:val="002A30A3"/>
    <w:rsid w:val="002A4B70"/>
    <w:rsid w:val="002A71F7"/>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3228A"/>
    <w:rsid w:val="00335FE5"/>
    <w:rsid w:val="00336E01"/>
    <w:rsid w:val="0033774C"/>
    <w:rsid w:val="00337C9D"/>
    <w:rsid w:val="003418D6"/>
    <w:rsid w:val="003519DF"/>
    <w:rsid w:val="00354466"/>
    <w:rsid w:val="00356E0F"/>
    <w:rsid w:val="003627B9"/>
    <w:rsid w:val="0036696F"/>
    <w:rsid w:val="00367417"/>
    <w:rsid w:val="00367AF4"/>
    <w:rsid w:val="00370AC9"/>
    <w:rsid w:val="00370B76"/>
    <w:rsid w:val="00374584"/>
    <w:rsid w:val="0037754B"/>
    <w:rsid w:val="00383A00"/>
    <w:rsid w:val="00393190"/>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6B5"/>
    <w:rsid w:val="00426CAC"/>
    <w:rsid w:val="00426CD6"/>
    <w:rsid w:val="00426D9B"/>
    <w:rsid w:val="00426F2E"/>
    <w:rsid w:val="00431511"/>
    <w:rsid w:val="00433ED2"/>
    <w:rsid w:val="00436C14"/>
    <w:rsid w:val="0044260F"/>
    <w:rsid w:val="00451FAD"/>
    <w:rsid w:val="00471357"/>
    <w:rsid w:val="004722D9"/>
    <w:rsid w:val="00480FCA"/>
    <w:rsid w:val="00483745"/>
    <w:rsid w:val="00486A8E"/>
    <w:rsid w:val="0049468F"/>
    <w:rsid w:val="004975A3"/>
    <w:rsid w:val="004A0F85"/>
    <w:rsid w:val="004B4A7F"/>
    <w:rsid w:val="004D07E4"/>
    <w:rsid w:val="004D4550"/>
    <w:rsid w:val="004E2EB0"/>
    <w:rsid w:val="004E458F"/>
    <w:rsid w:val="004E6652"/>
    <w:rsid w:val="004F24EE"/>
    <w:rsid w:val="004F2CE8"/>
    <w:rsid w:val="00511BC3"/>
    <w:rsid w:val="00512D8B"/>
    <w:rsid w:val="00513C45"/>
    <w:rsid w:val="00516FE2"/>
    <w:rsid w:val="00517568"/>
    <w:rsid w:val="00527B0B"/>
    <w:rsid w:val="00533CFC"/>
    <w:rsid w:val="00537B5A"/>
    <w:rsid w:val="00541322"/>
    <w:rsid w:val="00543085"/>
    <w:rsid w:val="00543B29"/>
    <w:rsid w:val="00546419"/>
    <w:rsid w:val="0055068B"/>
    <w:rsid w:val="00553AE3"/>
    <w:rsid w:val="00562702"/>
    <w:rsid w:val="0056331F"/>
    <w:rsid w:val="00563D75"/>
    <w:rsid w:val="0056464C"/>
    <w:rsid w:val="005A06C7"/>
    <w:rsid w:val="005A2099"/>
    <w:rsid w:val="005B33BE"/>
    <w:rsid w:val="005B5760"/>
    <w:rsid w:val="005B5B18"/>
    <w:rsid w:val="005C1FD9"/>
    <w:rsid w:val="005D29D0"/>
    <w:rsid w:val="005D3BF3"/>
    <w:rsid w:val="005D5BFB"/>
    <w:rsid w:val="005E0637"/>
    <w:rsid w:val="005F5AA8"/>
    <w:rsid w:val="0060323C"/>
    <w:rsid w:val="00607627"/>
    <w:rsid w:val="00613439"/>
    <w:rsid w:val="00616BBA"/>
    <w:rsid w:val="006172F6"/>
    <w:rsid w:val="0063189A"/>
    <w:rsid w:val="00633DE3"/>
    <w:rsid w:val="006345F5"/>
    <w:rsid w:val="006376F6"/>
    <w:rsid w:val="00646647"/>
    <w:rsid w:val="00650894"/>
    <w:rsid w:val="006514E4"/>
    <w:rsid w:val="00652C82"/>
    <w:rsid w:val="00652DDC"/>
    <w:rsid w:val="00655BA2"/>
    <w:rsid w:val="0066129B"/>
    <w:rsid w:val="00661894"/>
    <w:rsid w:val="00665022"/>
    <w:rsid w:val="00667B79"/>
    <w:rsid w:val="00672B91"/>
    <w:rsid w:val="00672E78"/>
    <w:rsid w:val="0068443A"/>
    <w:rsid w:val="00685EC7"/>
    <w:rsid w:val="00685F30"/>
    <w:rsid w:val="00686A00"/>
    <w:rsid w:val="006922BF"/>
    <w:rsid w:val="0069314B"/>
    <w:rsid w:val="00694433"/>
    <w:rsid w:val="006A0E36"/>
    <w:rsid w:val="006B2C66"/>
    <w:rsid w:val="006B31A1"/>
    <w:rsid w:val="006C69D2"/>
    <w:rsid w:val="006D0D39"/>
    <w:rsid w:val="006D403A"/>
    <w:rsid w:val="006D4FBC"/>
    <w:rsid w:val="006D5EF7"/>
    <w:rsid w:val="006D632F"/>
    <w:rsid w:val="006E5122"/>
    <w:rsid w:val="006E7097"/>
    <w:rsid w:val="006F4F03"/>
    <w:rsid w:val="006F7D94"/>
    <w:rsid w:val="00704F88"/>
    <w:rsid w:val="0070791A"/>
    <w:rsid w:val="00710081"/>
    <w:rsid w:val="0072778E"/>
    <w:rsid w:val="007530E9"/>
    <w:rsid w:val="00765476"/>
    <w:rsid w:val="0076570B"/>
    <w:rsid w:val="007657E6"/>
    <w:rsid w:val="0077160B"/>
    <w:rsid w:val="00772B80"/>
    <w:rsid w:val="00780C90"/>
    <w:rsid w:val="00780DE5"/>
    <w:rsid w:val="00782552"/>
    <w:rsid w:val="00782E20"/>
    <w:rsid w:val="00783253"/>
    <w:rsid w:val="00783EF5"/>
    <w:rsid w:val="00793747"/>
    <w:rsid w:val="007A08C9"/>
    <w:rsid w:val="007A1270"/>
    <w:rsid w:val="007A61BE"/>
    <w:rsid w:val="007B5D3A"/>
    <w:rsid w:val="007B661C"/>
    <w:rsid w:val="007C03CF"/>
    <w:rsid w:val="007C0545"/>
    <w:rsid w:val="007C184C"/>
    <w:rsid w:val="007C7317"/>
    <w:rsid w:val="007D2A66"/>
    <w:rsid w:val="007D47E3"/>
    <w:rsid w:val="007E114D"/>
    <w:rsid w:val="007E130B"/>
    <w:rsid w:val="007F17A7"/>
    <w:rsid w:val="008006B0"/>
    <w:rsid w:val="008008CD"/>
    <w:rsid w:val="00802ABB"/>
    <w:rsid w:val="00805589"/>
    <w:rsid w:val="00814145"/>
    <w:rsid w:val="00814871"/>
    <w:rsid w:val="00823D06"/>
    <w:rsid w:val="0083083F"/>
    <w:rsid w:val="00842C2C"/>
    <w:rsid w:val="00844638"/>
    <w:rsid w:val="00845A19"/>
    <w:rsid w:val="00847485"/>
    <w:rsid w:val="00854856"/>
    <w:rsid w:val="00863A03"/>
    <w:rsid w:val="00864702"/>
    <w:rsid w:val="00876669"/>
    <w:rsid w:val="00882B86"/>
    <w:rsid w:val="00887E07"/>
    <w:rsid w:val="008928FB"/>
    <w:rsid w:val="00896E7E"/>
    <w:rsid w:val="008A1E8D"/>
    <w:rsid w:val="008A3384"/>
    <w:rsid w:val="008B10F6"/>
    <w:rsid w:val="008B4511"/>
    <w:rsid w:val="008E3AD1"/>
    <w:rsid w:val="008F2302"/>
    <w:rsid w:val="008F6D32"/>
    <w:rsid w:val="00910861"/>
    <w:rsid w:val="00914C9A"/>
    <w:rsid w:val="0092169B"/>
    <w:rsid w:val="0092513C"/>
    <w:rsid w:val="009258C8"/>
    <w:rsid w:val="00931ABE"/>
    <w:rsid w:val="009349E7"/>
    <w:rsid w:val="00935A78"/>
    <w:rsid w:val="00936DB7"/>
    <w:rsid w:val="00937989"/>
    <w:rsid w:val="00941997"/>
    <w:rsid w:val="00941C5B"/>
    <w:rsid w:val="0094299D"/>
    <w:rsid w:val="00943B9B"/>
    <w:rsid w:val="009440E9"/>
    <w:rsid w:val="00953BB3"/>
    <w:rsid w:val="00955BFB"/>
    <w:rsid w:val="00957658"/>
    <w:rsid w:val="009641AD"/>
    <w:rsid w:val="00965736"/>
    <w:rsid w:val="00971BB3"/>
    <w:rsid w:val="0097753A"/>
    <w:rsid w:val="00983168"/>
    <w:rsid w:val="009849DD"/>
    <w:rsid w:val="00985A62"/>
    <w:rsid w:val="009931B0"/>
    <w:rsid w:val="00993B83"/>
    <w:rsid w:val="00993E99"/>
    <w:rsid w:val="009A231C"/>
    <w:rsid w:val="009A3836"/>
    <w:rsid w:val="009A5617"/>
    <w:rsid w:val="009B2ED3"/>
    <w:rsid w:val="009B5659"/>
    <w:rsid w:val="009B7859"/>
    <w:rsid w:val="009B7FC5"/>
    <w:rsid w:val="009C5FC9"/>
    <w:rsid w:val="009C7D67"/>
    <w:rsid w:val="009D2242"/>
    <w:rsid w:val="009D713C"/>
    <w:rsid w:val="009E365C"/>
    <w:rsid w:val="009E77A0"/>
    <w:rsid w:val="009F674C"/>
    <w:rsid w:val="00A01D7F"/>
    <w:rsid w:val="00A02E57"/>
    <w:rsid w:val="00A04216"/>
    <w:rsid w:val="00A24696"/>
    <w:rsid w:val="00A25642"/>
    <w:rsid w:val="00A27DB1"/>
    <w:rsid w:val="00A368DA"/>
    <w:rsid w:val="00A43292"/>
    <w:rsid w:val="00A55CAE"/>
    <w:rsid w:val="00A56EAF"/>
    <w:rsid w:val="00A76739"/>
    <w:rsid w:val="00A80BAA"/>
    <w:rsid w:val="00A8500B"/>
    <w:rsid w:val="00A90E5F"/>
    <w:rsid w:val="00A92E31"/>
    <w:rsid w:val="00AA2F5E"/>
    <w:rsid w:val="00AA61B4"/>
    <w:rsid w:val="00AB31C1"/>
    <w:rsid w:val="00AB6E2E"/>
    <w:rsid w:val="00AB7C86"/>
    <w:rsid w:val="00AC10BC"/>
    <w:rsid w:val="00AD177F"/>
    <w:rsid w:val="00AD2C42"/>
    <w:rsid w:val="00AD4D62"/>
    <w:rsid w:val="00AE1A32"/>
    <w:rsid w:val="00AE2B0F"/>
    <w:rsid w:val="00AE2B38"/>
    <w:rsid w:val="00AE3706"/>
    <w:rsid w:val="00B0260B"/>
    <w:rsid w:val="00B06E11"/>
    <w:rsid w:val="00B106BB"/>
    <w:rsid w:val="00B108D7"/>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916E9"/>
    <w:rsid w:val="00B92FED"/>
    <w:rsid w:val="00B9549D"/>
    <w:rsid w:val="00B96D9D"/>
    <w:rsid w:val="00B97A1E"/>
    <w:rsid w:val="00BA19DA"/>
    <w:rsid w:val="00BA4554"/>
    <w:rsid w:val="00BA5774"/>
    <w:rsid w:val="00BB020C"/>
    <w:rsid w:val="00BB356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6394C"/>
    <w:rsid w:val="00C66B1D"/>
    <w:rsid w:val="00C72644"/>
    <w:rsid w:val="00C728D7"/>
    <w:rsid w:val="00C81847"/>
    <w:rsid w:val="00C81D0A"/>
    <w:rsid w:val="00C923A7"/>
    <w:rsid w:val="00C96EE9"/>
    <w:rsid w:val="00CA1250"/>
    <w:rsid w:val="00CA1CAD"/>
    <w:rsid w:val="00CA2BE6"/>
    <w:rsid w:val="00CA3645"/>
    <w:rsid w:val="00CA4BAD"/>
    <w:rsid w:val="00CA70B1"/>
    <w:rsid w:val="00CB7C80"/>
    <w:rsid w:val="00CC67E3"/>
    <w:rsid w:val="00CD1907"/>
    <w:rsid w:val="00CE38D6"/>
    <w:rsid w:val="00CE58FC"/>
    <w:rsid w:val="00CE7E57"/>
    <w:rsid w:val="00CF05C5"/>
    <w:rsid w:val="00CF15E0"/>
    <w:rsid w:val="00CF2F6F"/>
    <w:rsid w:val="00CF74E4"/>
    <w:rsid w:val="00D03C2E"/>
    <w:rsid w:val="00D11170"/>
    <w:rsid w:val="00D1697F"/>
    <w:rsid w:val="00D25DF2"/>
    <w:rsid w:val="00D313C5"/>
    <w:rsid w:val="00D436CA"/>
    <w:rsid w:val="00D52EB5"/>
    <w:rsid w:val="00D63773"/>
    <w:rsid w:val="00D7301C"/>
    <w:rsid w:val="00D73524"/>
    <w:rsid w:val="00D7566E"/>
    <w:rsid w:val="00D85128"/>
    <w:rsid w:val="00D8526D"/>
    <w:rsid w:val="00D95963"/>
    <w:rsid w:val="00D97CCF"/>
    <w:rsid w:val="00DB58CA"/>
    <w:rsid w:val="00DC04D3"/>
    <w:rsid w:val="00DC37D9"/>
    <w:rsid w:val="00DC52B1"/>
    <w:rsid w:val="00DD320A"/>
    <w:rsid w:val="00DD3CA1"/>
    <w:rsid w:val="00DD448B"/>
    <w:rsid w:val="00DD4878"/>
    <w:rsid w:val="00DE53A4"/>
    <w:rsid w:val="00DF489E"/>
    <w:rsid w:val="00DF6B01"/>
    <w:rsid w:val="00DF7405"/>
    <w:rsid w:val="00E1321C"/>
    <w:rsid w:val="00E13E07"/>
    <w:rsid w:val="00E217C1"/>
    <w:rsid w:val="00E23C0B"/>
    <w:rsid w:val="00E25266"/>
    <w:rsid w:val="00E30DF4"/>
    <w:rsid w:val="00E324A1"/>
    <w:rsid w:val="00E3394D"/>
    <w:rsid w:val="00E406AB"/>
    <w:rsid w:val="00E4129D"/>
    <w:rsid w:val="00E53896"/>
    <w:rsid w:val="00E54436"/>
    <w:rsid w:val="00E62453"/>
    <w:rsid w:val="00E6297F"/>
    <w:rsid w:val="00E652D0"/>
    <w:rsid w:val="00E726D2"/>
    <w:rsid w:val="00E746CC"/>
    <w:rsid w:val="00E75A59"/>
    <w:rsid w:val="00E84926"/>
    <w:rsid w:val="00E878D2"/>
    <w:rsid w:val="00E90D4C"/>
    <w:rsid w:val="00E922CC"/>
    <w:rsid w:val="00E93F70"/>
    <w:rsid w:val="00EA229C"/>
    <w:rsid w:val="00EB0F00"/>
    <w:rsid w:val="00EB209C"/>
    <w:rsid w:val="00EB5401"/>
    <w:rsid w:val="00EE026C"/>
    <w:rsid w:val="00EE20D2"/>
    <w:rsid w:val="00EE7891"/>
    <w:rsid w:val="00EF0A80"/>
    <w:rsid w:val="00EF0FFD"/>
    <w:rsid w:val="00F00003"/>
    <w:rsid w:val="00F14D7E"/>
    <w:rsid w:val="00F274BF"/>
    <w:rsid w:val="00F30DB7"/>
    <w:rsid w:val="00F44FBD"/>
    <w:rsid w:val="00F465E9"/>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C185B"/>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9D389"/>
  <w15:docId w15:val="{A1327A88-A02F-4111-8161-AC4DF124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paragraph" w:styleId="Vresteksts">
    <w:name w:val="footnote text"/>
    <w:basedOn w:val="Parasts"/>
    <w:link w:val="VrestekstsRakstz"/>
    <w:uiPriority w:val="99"/>
    <w:unhideWhenUsed/>
    <w:rsid w:val="00174280"/>
    <w:pPr>
      <w:ind w:firstLine="567"/>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rsid w:val="00174280"/>
    <w:rPr>
      <w:rFonts w:ascii="Calibri" w:eastAsia="Calibri" w:hAnsi="Calibri" w:cs="Times New Roman"/>
      <w:sz w:val="20"/>
      <w:szCs w:val="20"/>
    </w:rPr>
  </w:style>
  <w:style w:type="character" w:styleId="Vresatsauce">
    <w:name w:val="footnote reference"/>
    <w:aliases w:val="Footnote symbol"/>
    <w:basedOn w:val="Noklusjumarindkopasfonts"/>
    <w:uiPriority w:val="99"/>
    <w:unhideWhenUsed/>
    <w:rsid w:val="00174280"/>
    <w:rPr>
      <w:vertAlign w:val="superscript"/>
    </w:rPr>
  </w:style>
  <w:style w:type="paragraph" w:customStyle="1" w:styleId="Default">
    <w:name w:val="Default"/>
    <w:rsid w:val="001D1E0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64233193">
      <w:bodyDiv w:val="1"/>
      <w:marLeft w:val="0"/>
      <w:marRight w:val="0"/>
      <w:marTop w:val="0"/>
      <w:marBottom w:val="0"/>
      <w:divBdr>
        <w:top w:val="none" w:sz="0" w:space="0" w:color="auto"/>
        <w:left w:val="none" w:sz="0" w:space="0" w:color="auto"/>
        <w:bottom w:val="none" w:sz="0" w:space="0" w:color="auto"/>
        <w:right w:val="none" w:sz="0" w:space="0" w:color="auto"/>
      </w:divBdr>
      <w:divsChild>
        <w:div w:id="1116291551">
          <w:marLeft w:val="0"/>
          <w:marRight w:val="0"/>
          <w:marTop w:val="0"/>
          <w:marBottom w:val="0"/>
          <w:divBdr>
            <w:top w:val="none" w:sz="0" w:space="0" w:color="auto"/>
            <w:left w:val="none" w:sz="0" w:space="0" w:color="auto"/>
            <w:bottom w:val="none" w:sz="0" w:space="0" w:color="auto"/>
            <w:right w:val="none" w:sz="0" w:space="0" w:color="auto"/>
          </w:divBdr>
        </w:div>
        <w:div w:id="743142945">
          <w:marLeft w:val="0"/>
          <w:marRight w:val="0"/>
          <w:marTop w:val="0"/>
          <w:marBottom w:val="0"/>
          <w:divBdr>
            <w:top w:val="none" w:sz="0" w:space="0" w:color="auto"/>
            <w:left w:val="none" w:sz="0" w:space="0" w:color="auto"/>
            <w:bottom w:val="none" w:sz="0" w:space="0" w:color="auto"/>
            <w:right w:val="none" w:sz="0" w:space="0" w:color="auto"/>
          </w:divBdr>
        </w:div>
        <w:div w:id="1756395433">
          <w:marLeft w:val="0"/>
          <w:marRight w:val="0"/>
          <w:marTop w:val="0"/>
          <w:marBottom w:val="0"/>
          <w:divBdr>
            <w:top w:val="none" w:sz="0" w:space="0" w:color="auto"/>
            <w:left w:val="none" w:sz="0" w:space="0" w:color="auto"/>
            <w:bottom w:val="none" w:sz="0" w:space="0" w:color="auto"/>
            <w:right w:val="none" w:sz="0" w:space="0" w:color="auto"/>
          </w:divBdr>
        </w:div>
      </w:divsChild>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9903-C92C-4A69-ABB5-7A9128D9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4068</Words>
  <Characters>2319</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Baiba Akmentina-Cernecova</cp:lastModifiedBy>
  <cp:revision>8</cp:revision>
  <cp:lastPrinted>2019-06-12T12:01:00Z</cp:lastPrinted>
  <dcterms:created xsi:type="dcterms:W3CDTF">2019-06-12T13:15:00Z</dcterms:created>
  <dcterms:modified xsi:type="dcterms:W3CDTF">2019-06-13T06:48:00Z</dcterms:modified>
</cp:coreProperties>
</file>