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052E" w14:textId="77777777" w:rsidR="000F232A" w:rsidRPr="00717B36"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717B36" w:rsidRDefault="00B4657F" w:rsidP="004E05BA">
      <w:pPr>
        <w:widowControl w:val="0"/>
        <w:autoSpaceDE w:val="0"/>
        <w:autoSpaceDN w:val="0"/>
        <w:adjustRightInd w:val="0"/>
        <w:ind w:right="425"/>
        <w:jc w:val="right"/>
        <w:rPr>
          <w:rFonts w:ascii="Arial" w:hAnsi="Arial" w:cs="Arial"/>
          <w:b/>
          <w:bCs/>
          <w:sz w:val="20"/>
          <w:szCs w:val="20"/>
        </w:rPr>
      </w:pPr>
      <w:r w:rsidRPr="00717B36">
        <w:rPr>
          <w:rFonts w:ascii="Arial" w:hAnsi="Arial" w:cs="Arial"/>
          <w:b/>
          <w:bCs/>
          <w:sz w:val="20"/>
          <w:szCs w:val="20"/>
        </w:rPr>
        <w:t>APSTIPRINĀTS</w:t>
      </w:r>
    </w:p>
    <w:p w14:paraId="127D41D7" w14:textId="77777777" w:rsidR="00B4657F" w:rsidRPr="00717B36" w:rsidRDefault="00B4657F" w:rsidP="004E05BA">
      <w:pPr>
        <w:widowControl w:val="0"/>
        <w:autoSpaceDE w:val="0"/>
        <w:autoSpaceDN w:val="0"/>
        <w:adjustRightInd w:val="0"/>
        <w:ind w:right="425"/>
        <w:jc w:val="right"/>
        <w:rPr>
          <w:rFonts w:ascii="Arial" w:hAnsi="Arial" w:cs="Arial"/>
          <w:bCs/>
          <w:sz w:val="20"/>
          <w:szCs w:val="20"/>
        </w:rPr>
      </w:pPr>
      <w:r w:rsidRPr="00717B36">
        <w:rPr>
          <w:rFonts w:ascii="Arial" w:hAnsi="Arial" w:cs="Arial"/>
          <w:bCs/>
          <w:sz w:val="20"/>
          <w:szCs w:val="20"/>
        </w:rPr>
        <w:t>Liepājas pilsētas domes Iepirkumu komisijas</w:t>
      </w:r>
    </w:p>
    <w:p w14:paraId="17616375" w14:textId="6B056719" w:rsidR="00B4657F" w:rsidRPr="00717B36" w:rsidRDefault="00B4657F" w:rsidP="004E05BA">
      <w:pPr>
        <w:widowControl w:val="0"/>
        <w:autoSpaceDE w:val="0"/>
        <w:autoSpaceDN w:val="0"/>
        <w:adjustRightInd w:val="0"/>
        <w:ind w:right="425"/>
        <w:jc w:val="right"/>
        <w:rPr>
          <w:rFonts w:ascii="Arial" w:hAnsi="Arial" w:cs="Arial"/>
          <w:bCs/>
          <w:sz w:val="20"/>
          <w:szCs w:val="20"/>
        </w:rPr>
      </w:pPr>
      <w:r w:rsidRPr="00717B36">
        <w:rPr>
          <w:rFonts w:ascii="Arial" w:hAnsi="Arial" w:cs="Arial"/>
          <w:bCs/>
          <w:sz w:val="20"/>
          <w:szCs w:val="20"/>
        </w:rPr>
        <w:t xml:space="preserve"> 201</w:t>
      </w:r>
      <w:r w:rsidR="002B4A91" w:rsidRPr="00717B36">
        <w:rPr>
          <w:rFonts w:ascii="Arial" w:hAnsi="Arial" w:cs="Arial"/>
          <w:bCs/>
          <w:sz w:val="20"/>
          <w:szCs w:val="20"/>
        </w:rPr>
        <w:t>9</w:t>
      </w:r>
      <w:r w:rsidRPr="00717B36">
        <w:rPr>
          <w:rFonts w:ascii="Arial" w:hAnsi="Arial" w:cs="Arial"/>
          <w:bCs/>
          <w:sz w:val="20"/>
          <w:szCs w:val="20"/>
        </w:rPr>
        <w:t>.gada</w:t>
      </w:r>
      <w:r w:rsidR="00B379B5" w:rsidRPr="00717B36">
        <w:rPr>
          <w:rFonts w:ascii="Arial" w:hAnsi="Arial" w:cs="Arial"/>
          <w:bCs/>
          <w:sz w:val="20"/>
          <w:szCs w:val="20"/>
        </w:rPr>
        <w:t xml:space="preserve"> </w:t>
      </w:r>
      <w:r w:rsidR="00A66200" w:rsidRPr="00717B36">
        <w:rPr>
          <w:rFonts w:ascii="Arial" w:hAnsi="Arial" w:cs="Arial"/>
          <w:bCs/>
          <w:sz w:val="20"/>
          <w:szCs w:val="20"/>
        </w:rPr>
        <w:t>15</w:t>
      </w:r>
      <w:r w:rsidRPr="00717B36">
        <w:rPr>
          <w:rFonts w:ascii="Arial" w:hAnsi="Arial" w:cs="Arial"/>
          <w:bCs/>
          <w:sz w:val="20"/>
          <w:szCs w:val="20"/>
        </w:rPr>
        <w:t>.</w:t>
      </w:r>
      <w:r w:rsidR="0017042F" w:rsidRPr="00717B36">
        <w:rPr>
          <w:rFonts w:ascii="Arial" w:hAnsi="Arial" w:cs="Arial"/>
          <w:bCs/>
          <w:sz w:val="20"/>
          <w:szCs w:val="20"/>
        </w:rPr>
        <w:t>maija</w:t>
      </w:r>
      <w:r w:rsidR="006922BF" w:rsidRPr="00717B36">
        <w:rPr>
          <w:rFonts w:ascii="Arial" w:hAnsi="Arial" w:cs="Arial"/>
          <w:bCs/>
          <w:sz w:val="20"/>
          <w:szCs w:val="20"/>
        </w:rPr>
        <w:t xml:space="preserve"> </w:t>
      </w:r>
      <w:r w:rsidRPr="00717B36">
        <w:rPr>
          <w:rFonts w:ascii="Arial" w:hAnsi="Arial" w:cs="Arial"/>
          <w:bCs/>
          <w:sz w:val="20"/>
          <w:szCs w:val="20"/>
        </w:rPr>
        <w:t>sēdē, protokols Nr.</w:t>
      </w:r>
      <w:r w:rsidR="00A66200" w:rsidRPr="00717B36">
        <w:rPr>
          <w:rFonts w:ascii="Arial" w:hAnsi="Arial" w:cs="Arial"/>
          <w:bCs/>
          <w:sz w:val="20"/>
          <w:szCs w:val="20"/>
        </w:rPr>
        <w:t>3</w:t>
      </w:r>
    </w:p>
    <w:p w14:paraId="06F0F9F4" w14:textId="77777777" w:rsidR="00B4657F" w:rsidRPr="00717B36" w:rsidRDefault="00B4657F" w:rsidP="004E05BA">
      <w:pPr>
        <w:ind w:right="425"/>
        <w:jc w:val="both"/>
        <w:rPr>
          <w:rFonts w:ascii="Arial" w:hAnsi="Arial" w:cs="Arial"/>
          <w:b/>
          <w:sz w:val="20"/>
          <w:szCs w:val="20"/>
          <w:lang w:eastAsia="en-US"/>
        </w:rPr>
      </w:pPr>
    </w:p>
    <w:p w14:paraId="50ADC08F" w14:textId="77777777" w:rsidR="0070791A" w:rsidRPr="00717B36" w:rsidRDefault="0070791A" w:rsidP="004E05BA">
      <w:pPr>
        <w:ind w:right="425"/>
        <w:jc w:val="both"/>
        <w:rPr>
          <w:rFonts w:ascii="Arial" w:hAnsi="Arial" w:cs="Arial"/>
          <w:b/>
          <w:sz w:val="20"/>
          <w:szCs w:val="20"/>
          <w:lang w:eastAsia="en-US"/>
        </w:rPr>
      </w:pPr>
    </w:p>
    <w:p w14:paraId="6C6E80E3" w14:textId="77777777" w:rsidR="0070791A" w:rsidRPr="00717B36" w:rsidRDefault="0070791A" w:rsidP="004E05BA">
      <w:pPr>
        <w:ind w:right="425"/>
        <w:jc w:val="both"/>
        <w:rPr>
          <w:rFonts w:ascii="Arial" w:hAnsi="Arial" w:cs="Arial"/>
          <w:b/>
          <w:sz w:val="20"/>
          <w:szCs w:val="20"/>
          <w:lang w:eastAsia="en-US"/>
        </w:rPr>
      </w:pPr>
    </w:p>
    <w:p w14:paraId="2D350486" w14:textId="77777777" w:rsidR="0070791A" w:rsidRPr="00717B36" w:rsidRDefault="0070791A" w:rsidP="004E05BA">
      <w:pPr>
        <w:ind w:right="425"/>
        <w:jc w:val="both"/>
        <w:rPr>
          <w:rFonts w:ascii="Arial" w:hAnsi="Arial" w:cs="Arial"/>
          <w:b/>
          <w:sz w:val="20"/>
          <w:szCs w:val="20"/>
          <w:lang w:eastAsia="en-US"/>
        </w:rPr>
      </w:pPr>
    </w:p>
    <w:p w14:paraId="5E8A7A74" w14:textId="5B739217" w:rsidR="00B4657F" w:rsidRPr="00717B36" w:rsidRDefault="00B4657F" w:rsidP="00F1226D">
      <w:pPr>
        <w:ind w:right="425"/>
        <w:jc w:val="both"/>
        <w:rPr>
          <w:rFonts w:ascii="Arial" w:hAnsi="Arial" w:cs="Arial"/>
          <w:b/>
          <w:u w:val="single"/>
        </w:rPr>
      </w:pPr>
      <w:r w:rsidRPr="00717B36">
        <w:rPr>
          <w:rFonts w:ascii="Arial" w:hAnsi="Arial" w:cs="Arial"/>
          <w:b/>
          <w:i/>
          <w:sz w:val="20"/>
          <w:szCs w:val="20"/>
          <w:lang w:eastAsia="en-US"/>
        </w:rPr>
        <w:t xml:space="preserve">Par </w:t>
      </w:r>
      <w:r w:rsidR="0056331F" w:rsidRPr="00717B36">
        <w:rPr>
          <w:rFonts w:ascii="Arial" w:hAnsi="Arial" w:cs="Arial"/>
          <w:b/>
          <w:i/>
          <w:sz w:val="20"/>
          <w:szCs w:val="20"/>
          <w:lang w:eastAsia="en-US"/>
        </w:rPr>
        <w:t>atklāta konkursa</w:t>
      </w:r>
      <w:r w:rsidRPr="00717B36">
        <w:rPr>
          <w:rFonts w:ascii="Arial" w:hAnsi="Arial" w:cs="Arial"/>
          <w:b/>
          <w:i/>
          <w:sz w:val="20"/>
          <w:szCs w:val="20"/>
          <w:lang w:eastAsia="en-US"/>
        </w:rPr>
        <w:t xml:space="preserve"> </w:t>
      </w:r>
      <w:r w:rsidR="0017042F" w:rsidRPr="00717B36">
        <w:rPr>
          <w:rFonts w:ascii="Arial" w:hAnsi="Arial" w:cs="Arial"/>
          <w:b/>
          <w:i/>
          <w:sz w:val="20"/>
          <w:szCs w:val="20"/>
          <w:lang w:eastAsia="ar-SA"/>
        </w:rPr>
        <w:t>“Liepājas pilsētas digitālās reklāmas kampaņas izstrāde un realizācija</w:t>
      </w:r>
      <w:r w:rsidR="0017042F" w:rsidRPr="00717B36">
        <w:rPr>
          <w:rFonts w:ascii="Arial" w:hAnsi="Arial" w:cs="Arial"/>
          <w:b/>
          <w:i/>
          <w:sz w:val="20"/>
          <w:szCs w:val="20"/>
        </w:rPr>
        <w:t>”</w:t>
      </w:r>
      <w:r w:rsidR="00BE0445" w:rsidRPr="00717B36">
        <w:rPr>
          <w:rFonts w:ascii="Arial" w:eastAsia="Calibri" w:hAnsi="Arial" w:cs="Arial"/>
          <w:b/>
          <w:i/>
          <w:sz w:val="20"/>
          <w:szCs w:val="20"/>
          <w:lang w:eastAsia="en-US"/>
        </w:rPr>
        <w:t xml:space="preserve"> </w:t>
      </w:r>
      <w:r w:rsidRPr="00717B36">
        <w:rPr>
          <w:rFonts w:ascii="Arial" w:eastAsia="Calibri" w:hAnsi="Arial" w:cs="Arial"/>
          <w:b/>
          <w:bCs/>
          <w:i/>
          <w:sz w:val="20"/>
          <w:szCs w:val="20"/>
          <w:lang w:eastAsia="en-US"/>
        </w:rPr>
        <w:t>(LPP 201</w:t>
      </w:r>
      <w:r w:rsidR="00994DED" w:rsidRPr="00717B36">
        <w:rPr>
          <w:rFonts w:ascii="Arial" w:eastAsia="Calibri" w:hAnsi="Arial" w:cs="Arial"/>
          <w:b/>
          <w:bCs/>
          <w:i/>
          <w:sz w:val="20"/>
          <w:szCs w:val="20"/>
          <w:lang w:eastAsia="en-US"/>
        </w:rPr>
        <w:t>9</w:t>
      </w:r>
      <w:r w:rsidR="00537B5A" w:rsidRPr="00717B36">
        <w:rPr>
          <w:rFonts w:ascii="Arial" w:eastAsia="Calibri" w:hAnsi="Arial" w:cs="Arial"/>
          <w:b/>
          <w:bCs/>
          <w:i/>
          <w:sz w:val="20"/>
          <w:szCs w:val="20"/>
          <w:lang w:eastAsia="en-US"/>
        </w:rPr>
        <w:t>/</w:t>
      </w:r>
      <w:r w:rsidR="0017042F" w:rsidRPr="00717B36">
        <w:rPr>
          <w:rFonts w:ascii="Arial" w:eastAsia="Calibri" w:hAnsi="Arial" w:cs="Arial"/>
          <w:b/>
          <w:bCs/>
          <w:i/>
          <w:sz w:val="20"/>
          <w:szCs w:val="20"/>
          <w:lang w:eastAsia="en-US"/>
        </w:rPr>
        <w:t>3</w:t>
      </w:r>
      <w:r w:rsidR="00187C2B" w:rsidRPr="00717B36">
        <w:rPr>
          <w:rFonts w:ascii="Arial" w:eastAsia="Calibri" w:hAnsi="Arial" w:cs="Arial"/>
          <w:b/>
          <w:bCs/>
          <w:i/>
          <w:sz w:val="20"/>
          <w:szCs w:val="20"/>
          <w:lang w:eastAsia="en-US"/>
        </w:rPr>
        <w:t>8</w:t>
      </w:r>
      <w:r w:rsidRPr="00717B36">
        <w:rPr>
          <w:rFonts w:ascii="Arial" w:eastAsia="Calibri" w:hAnsi="Arial" w:cs="Arial"/>
          <w:b/>
          <w:bCs/>
          <w:i/>
          <w:sz w:val="20"/>
          <w:szCs w:val="20"/>
          <w:lang w:eastAsia="en-US"/>
        </w:rPr>
        <w:t>)</w:t>
      </w:r>
      <w:r w:rsidRPr="00717B36">
        <w:rPr>
          <w:rFonts w:ascii="Arial" w:eastAsia="Calibri" w:hAnsi="Arial" w:cs="Arial"/>
          <w:bCs/>
          <w:i/>
          <w:sz w:val="20"/>
          <w:szCs w:val="20"/>
          <w:lang w:eastAsia="en-US"/>
        </w:rPr>
        <w:t xml:space="preserve"> </w:t>
      </w:r>
      <w:r w:rsidRPr="00717B36">
        <w:rPr>
          <w:rFonts w:ascii="Arial" w:hAnsi="Arial" w:cs="Arial"/>
          <w:b/>
          <w:i/>
          <w:sz w:val="20"/>
          <w:szCs w:val="20"/>
          <w:lang w:eastAsia="en-US"/>
        </w:rPr>
        <w:t xml:space="preserve">nolikuma </w:t>
      </w:r>
      <w:r w:rsidR="0017042F" w:rsidRPr="00717B36">
        <w:rPr>
          <w:rFonts w:ascii="Arial" w:hAnsi="Arial" w:cs="Arial"/>
          <w:b/>
          <w:i/>
          <w:sz w:val="20"/>
          <w:szCs w:val="20"/>
          <w:lang w:eastAsia="en-US"/>
        </w:rPr>
        <w:t>skaidrojumiem</w:t>
      </w:r>
      <w:r w:rsidR="00051DC2" w:rsidRPr="00717B36">
        <w:rPr>
          <w:rFonts w:ascii="Arial" w:hAnsi="Arial" w:cs="Arial"/>
          <w:b/>
          <w:i/>
          <w:sz w:val="20"/>
          <w:szCs w:val="20"/>
          <w:lang w:eastAsia="en-US"/>
        </w:rPr>
        <w:t>.</w:t>
      </w:r>
    </w:p>
    <w:p w14:paraId="1C6AC12D" w14:textId="77777777" w:rsidR="00FA7F76" w:rsidRPr="00717B36" w:rsidRDefault="00FA7F76" w:rsidP="00032669">
      <w:pPr>
        <w:jc w:val="both"/>
        <w:rPr>
          <w:rFonts w:ascii="Arial" w:eastAsia="Calibri" w:hAnsi="Arial" w:cs="Arial"/>
          <w:bCs/>
          <w:sz w:val="20"/>
          <w:szCs w:val="20"/>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B4657F" w:rsidRPr="00717B36" w14:paraId="739E0F99" w14:textId="77777777" w:rsidTr="00187C2B">
        <w:tc>
          <w:tcPr>
            <w:tcW w:w="9214" w:type="dxa"/>
            <w:gridSpan w:val="2"/>
            <w:shd w:val="clear" w:color="auto" w:fill="CCFFCC"/>
          </w:tcPr>
          <w:p w14:paraId="0188AE94" w14:textId="77777777" w:rsidR="00B4657F" w:rsidRPr="00717B36" w:rsidRDefault="00B4657F" w:rsidP="00032669">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5416920"/>
          </w:p>
        </w:tc>
      </w:tr>
      <w:tr w:rsidR="00D55EB9" w:rsidRPr="00717B36" w14:paraId="28C51DD7" w14:textId="77777777" w:rsidTr="0087462A">
        <w:trPr>
          <w:trHeight w:val="321"/>
        </w:trPr>
        <w:tc>
          <w:tcPr>
            <w:tcW w:w="1696" w:type="dxa"/>
          </w:tcPr>
          <w:p w14:paraId="11C94464" w14:textId="07BC4A60" w:rsidR="00D55EB9" w:rsidRPr="00717B36" w:rsidRDefault="00D55EB9" w:rsidP="00D55EB9">
            <w:pPr>
              <w:spacing w:before="40" w:after="40"/>
              <w:rPr>
                <w:rFonts w:ascii="Arial" w:hAnsi="Arial" w:cs="Arial"/>
                <w:b/>
                <w:bCs/>
                <w:sz w:val="20"/>
                <w:szCs w:val="20"/>
                <w:highlight w:val="yellow"/>
                <w:lang w:eastAsia="en-US"/>
              </w:rPr>
            </w:pPr>
            <w:bookmarkStart w:id="4" w:name="_Hlk503429744"/>
            <w:bookmarkEnd w:id="0"/>
            <w:bookmarkEnd w:id="1"/>
            <w:bookmarkEnd w:id="2"/>
            <w:bookmarkEnd w:id="3"/>
            <w:r w:rsidRPr="00717B36">
              <w:rPr>
                <w:rFonts w:ascii="Arial" w:hAnsi="Arial" w:cs="Arial"/>
                <w:b/>
                <w:bCs/>
                <w:sz w:val="20"/>
                <w:szCs w:val="20"/>
                <w:lang w:eastAsia="en-US"/>
              </w:rPr>
              <w:t>1.jautājums</w:t>
            </w:r>
          </w:p>
        </w:tc>
        <w:tc>
          <w:tcPr>
            <w:tcW w:w="7518" w:type="dxa"/>
          </w:tcPr>
          <w:p w14:paraId="21C0E238" w14:textId="77777777" w:rsidR="00D55EB9" w:rsidRPr="00717B36" w:rsidRDefault="00D55EB9" w:rsidP="00D55EB9">
            <w:pPr>
              <w:shd w:val="clear" w:color="auto" w:fill="FFFFFF"/>
              <w:jc w:val="both"/>
              <w:rPr>
                <w:rFonts w:ascii="Arial" w:hAnsi="Arial" w:cs="Arial"/>
                <w:color w:val="000000"/>
                <w:sz w:val="20"/>
                <w:szCs w:val="20"/>
              </w:rPr>
            </w:pPr>
            <w:r w:rsidRPr="00717B36">
              <w:rPr>
                <w:rFonts w:ascii="Arial" w:hAnsi="Arial" w:cs="Arial"/>
                <w:color w:val="000000"/>
                <w:sz w:val="20"/>
                <w:szCs w:val="20"/>
              </w:rPr>
              <w:t xml:space="preserve">Punktā 2.4.2. nolikumā minēts, ka svarīgi informēt sabiedrību par aktuālāko Liepājā un veicināt regulāru un biežāku Liepājas pilsētas apmeklējumu tūristiem no Latvijas, Lietuvas, Igaunijas un Krievijas, un kas ir balstīts kultūrā/izklaidē, sportā/aktīvajā atpūtā un kurortoloģijā; </w:t>
            </w:r>
          </w:p>
          <w:p w14:paraId="5BD8D736" w14:textId="7FB339C2" w:rsidR="00D55EB9" w:rsidRPr="00717B36" w:rsidRDefault="00D55EB9" w:rsidP="00D55EB9">
            <w:pPr>
              <w:shd w:val="clear" w:color="auto" w:fill="FFFFFF"/>
              <w:jc w:val="both"/>
              <w:rPr>
                <w:rFonts w:ascii="Arial" w:hAnsi="Arial" w:cs="Arial"/>
                <w:color w:val="000000"/>
                <w:sz w:val="20"/>
                <w:szCs w:val="20"/>
              </w:rPr>
            </w:pPr>
            <w:r w:rsidRPr="00717B36">
              <w:rPr>
                <w:rFonts w:ascii="Arial" w:hAnsi="Arial" w:cs="Arial"/>
                <w:color w:val="000000"/>
                <w:sz w:val="20"/>
                <w:szCs w:val="20"/>
              </w:rPr>
              <w:t>JAUTĀJUMS: Vai piedāvājumā mums jāparedz sagatavot arī minēto kaimiņvalstu Lietuvas, Igaunijas un Krievijas lokālo digitālo mediju atlases koncepciju?</w:t>
            </w:r>
          </w:p>
        </w:tc>
      </w:tr>
      <w:bookmarkEnd w:id="4"/>
      <w:tr w:rsidR="00D55EB9" w:rsidRPr="00717B36" w14:paraId="58D10B62" w14:textId="77777777" w:rsidTr="00A66200">
        <w:trPr>
          <w:trHeight w:val="70"/>
        </w:trPr>
        <w:tc>
          <w:tcPr>
            <w:tcW w:w="1696" w:type="dxa"/>
          </w:tcPr>
          <w:p w14:paraId="6663C8E8" w14:textId="4B187B12" w:rsidR="00D55EB9" w:rsidRPr="00717B36" w:rsidRDefault="00D55EB9" w:rsidP="00D55EB9">
            <w:pPr>
              <w:pStyle w:val="Bezatstarpm"/>
              <w:rPr>
                <w:rFonts w:ascii="Arial" w:hAnsi="Arial" w:cs="Arial"/>
                <w:b/>
                <w:sz w:val="20"/>
                <w:szCs w:val="20"/>
                <w:highlight w:val="yellow"/>
                <w:lang w:eastAsia="en-US"/>
              </w:rPr>
            </w:pPr>
            <w:r w:rsidRPr="00717B36">
              <w:rPr>
                <w:rFonts w:ascii="Arial" w:hAnsi="Arial" w:cs="Arial"/>
                <w:b/>
                <w:sz w:val="20"/>
                <w:szCs w:val="20"/>
                <w:lang w:eastAsia="en-US"/>
              </w:rPr>
              <w:t>Skaidrojums</w:t>
            </w:r>
          </w:p>
        </w:tc>
        <w:tc>
          <w:tcPr>
            <w:tcW w:w="7518" w:type="dxa"/>
          </w:tcPr>
          <w:p w14:paraId="1D1F6777" w14:textId="54248D2B" w:rsidR="00D55EB9" w:rsidRPr="00717B36" w:rsidRDefault="00D55EB9" w:rsidP="00D55EB9">
            <w:pPr>
              <w:pStyle w:val="Bezatstarpm"/>
              <w:jc w:val="both"/>
              <w:rPr>
                <w:rFonts w:ascii="Arial" w:hAnsi="Arial" w:cs="Arial"/>
                <w:sz w:val="20"/>
                <w:szCs w:val="20"/>
              </w:rPr>
            </w:pPr>
            <w:r>
              <w:rPr>
                <w:rFonts w:ascii="Arial" w:hAnsi="Arial" w:cs="Arial"/>
                <w:sz w:val="20"/>
                <w:szCs w:val="20"/>
              </w:rPr>
              <w:t>Pi</w:t>
            </w:r>
            <w:r w:rsidRPr="00717B36">
              <w:rPr>
                <w:rFonts w:ascii="Arial" w:hAnsi="Arial" w:cs="Arial"/>
                <w:color w:val="000000"/>
                <w:sz w:val="20"/>
                <w:szCs w:val="20"/>
              </w:rPr>
              <w:t>edāvājumā jāparedz sagatavot arī minēto kaimiņvalstu Lietuvas, Igaunijas un Krievijas lokālo dig</w:t>
            </w:r>
            <w:r>
              <w:rPr>
                <w:rFonts w:ascii="Arial" w:hAnsi="Arial" w:cs="Arial"/>
                <w:color w:val="000000"/>
                <w:sz w:val="20"/>
                <w:szCs w:val="20"/>
              </w:rPr>
              <w:t>itālo mediju atlases koncepciju.</w:t>
            </w:r>
          </w:p>
        </w:tc>
      </w:tr>
      <w:tr w:rsidR="00187C2B" w:rsidRPr="00717B36" w14:paraId="51C63C70" w14:textId="77777777" w:rsidTr="00CF192D">
        <w:tc>
          <w:tcPr>
            <w:tcW w:w="9214" w:type="dxa"/>
            <w:gridSpan w:val="2"/>
            <w:shd w:val="clear" w:color="auto" w:fill="CCFFCC"/>
          </w:tcPr>
          <w:p w14:paraId="66AE8F8F" w14:textId="7066BA04" w:rsidR="00187C2B" w:rsidRPr="00717B36" w:rsidRDefault="00187C2B" w:rsidP="00D62047">
            <w:pPr>
              <w:tabs>
                <w:tab w:val="left" w:pos="2552"/>
              </w:tabs>
              <w:suppressAutoHyphens/>
              <w:autoSpaceDE w:val="0"/>
              <w:jc w:val="both"/>
              <w:rPr>
                <w:rFonts w:ascii="Arial" w:hAnsi="Arial" w:cs="Arial"/>
                <w:b/>
                <w:bCs/>
                <w:sz w:val="12"/>
                <w:szCs w:val="12"/>
                <w:lang w:eastAsia="ar-SA"/>
              </w:rPr>
            </w:pPr>
          </w:p>
        </w:tc>
      </w:tr>
      <w:tr w:rsidR="00D55EB9" w:rsidRPr="00717B36" w14:paraId="6FDA2238" w14:textId="77777777" w:rsidTr="00CB7811">
        <w:trPr>
          <w:trHeight w:val="321"/>
        </w:trPr>
        <w:tc>
          <w:tcPr>
            <w:tcW w:w="1696" w:type="dxa"/>
          </w:tcPr>
          <w:p w14:paraId="4B06CD79" w14:textId="46D26DAA" w:rsidR="00D55EB9" w:rsidRPr="00717B36" w:rsidRDefault="00D55EB9" w:rsidP="00D55EB9">
            <w:pPr>
              <w:spacing w:before="40" w:after="40"/>
              <w:rPr>
                <w:rFonts w:ascii="Arial" w:hAnsi="Arial" w:cs="Arial"/>
                <w:b/>
                <w:bCs/>
                <w:sz w:val="20"/>
                <w:szCs w:val="20"/>
                <w:highlight w:val="yellow"/>
                <w:lang w:eastAsia="en-US"/>
              </w:rPr>
            </w:pPr>
            <w:r w:rsidRPr="00717B36">
              <w:rPr>
                <w:rFonts w:ascii="Arial" w:hAnsi="Arial" w:cs="Arial"/>
                <w:b/>
                <w:bCs/>
                <w:sz w:val="20"/>
                <w:szCs w:val="20"/>
                <w:lang w:eastAsia="en-US"/>
              </w:rPr>
              <w:t>2.jautājums</w:t>
            </w:r>
          </w:p>
        </w:tc>
        <w:tc>
          <w:tcPr>
            <w:tcW w:w="7518" w:type="dxa"/>
          </w:tcPr>
          <w:p w14:paraId="5CF2103F" w14:textId="77777777" w:rsidR="00D55EB9" w:rsidRPr="00394940" w:rsidRDefault="00D55EB9" w:rsidP="00D55EB9">
            <w:pPr>
              <w:shd w:val="clear" w:color="auto" w:fill="FFFFFF"/>
              <w:jc w:val="both"/>
              <w:rPr>
                <w:color w:val="000000"/>
                <w:sz w:val="20"/>
                <w:szCs w:val="20"/>
              </w:rPr>
            </w:pPr>
            <w:r w:rsidRPr="00394940">
              <w:rPr>
                <w:rFonts w:ascii="Arial" w:hAnsi="Arial" w:cs="Arial"/>
                <w:color w:val="000000"/>
                <w:sz w:val="20"/>
                <w:szCs w:val="20"/>
              </w:rPr>
              <w:t>Punktā 2.5. sadaļā Mērķauditorija kā primārās auditorijas minētas Iedzīvotāji, kuri nedzīvo Liepājā, bet šeit ir deklarēti; kuriem Liepājā dzīvo ģimene vai pieder īpašums; mācās, studē vai strādā Liepājā un uzņēmēji, investori – no Latvijas un ārvalstīm.</w:t>
            </w:r>
          </w:p>
          <w:p w14:paraId="4D661841" w14:textId="77777777" w:rsidR="00D55EB9" w:rsidRPr="00394940" w:rsidRDefault="00D55EB9" w:rsidP="00D55EB9">
            <w:pPr>
              <w:shd w:val="clear" w:color="auto" w:fill="FFFFFF"/>
              <w:jc w:val="both"/>
              <w:rPr>
                <w:color w:val="000000"/>
                <w:sz w:val="20"/>
                <w:szCs w:val="20"/>
              </w:rPr>
            </w:pPr>
            <w:r w:rsidRPr="00394940">
              <w:rPr>
                <w:rFonts w:ascii="Arial" w:hAnsi="Arial" w:cs="Arial"/>
                <w:color w:val="000000"/>
                <w:sz w:val="20"/>
                <w:szCs w:val="20"/>
              </w:rPr>
              <w:t>Punktā 2.5. sadaļā Mērķauditorija kā sekundārā auditorija minēta pilsētas viesi no citām Latvijas vietām, ārzemju tūristi.</w:t>
            </w:r>
          </w:p>
          <w:p w14:paraId="5F057804" w14:textId="60BD4782" w:rsidR="00D55EB9" w:rsidRPr="00394940" w:rsidRDefault="00D55EB9" w:rsidP="00D55EB9">
            <w:pPr>
              <w:shd w:val="clear" w:color="auto" w:fill="FFFFFF"/>
              <w:jc w:val="both"/>
              <w:rPr>
                <w:color w:val="000000"/>
                <w:sz w:val="20"/>
                <w:szCs w:val="20"/>
              </w:rPr>
            </w:pPr>
            <w:r w:rsidRPr="00394940">
              <w:rPr>
                <w:rFonts w:ascii="Arial" w:hAnsi="Arial" w:cs="Arial"/>
                <w:color w:val="000000"/>
                <w:sz w:val="20"/>
                <w:szCs w:val="20"/>
              </w:rPr>
              <w:t>JAUTĀJUMS: Kādēļ tieši kā primārā auditorija minēta Iedzīvotāji, kuri nedzīvo Liepājā, bet šeit ir deklarēti; kuriem Liepājā dzīvo ģimene vai pieder īpašums; mācās, studē vai strādā Liepājā? Mūsuprāt, svarīgāk ir prioritāri digitālajā komunikācijā strādāt uz pilsētas viesiem un tūristiem, jo tie ir vairākumā un tos ir gan vieglāk sasniegt, gan segmentēt. Respektēsim, ja atbildēsiet ar pretargumentiem, bet mums galvenais pārliecināties un izprast, uz kuru no auditorijām fokusēt uzmanību.</w:t>
            </w:r>
          </w:p>
        </w:tc>
      </w:tr>
      <w:tr w:rsidR="00D55EB9" w:rsidRPr="00717B36" w14:paraId="224AEA1D" w14:textId="77777777" w:rsidTr="00CB7811">
        <w:trPr>
          <w:trHeight w:val="321"/>
        </w:trPr>
        <w:tc>
          <w:tcPr>
            <w:tcW w:w="1696" w:type="dxa"/>
          </w:tcPr>
          <w:p w14:paraId="1E5FA659" w14:textId="77777777" w:rsidR="00D55EB9" w:rsidRPr="00717B36" w:rsidRDefault="00D55EB9" w:rsidP="00D55EB9">
            <w:pPr>
              <w:spacing w:before="40" w:after="40"/>
              <w:rPr>
                <w:rFonts w:ascii="Arial" w:hAnsi="Arial" w:cs="Arial"/>
                <w:b/>
                <w:bCs/>
                <w:sz w:val="20"/>
                <w:szCs w:val="20"/>
                <w:highlight w:val="yellow"/>
                <w:lang w:eastAsia="en-US"/>
              </w:rPr>
            </w:pPr>
            <w:r w:rsidRPr="00717B36">
              <w:rPr>
                <w:rFonts w:ascii="Arial" w:hAnsi="Arial" w:cs="Arial"/>
                <w:b/>
                <w:bCs/>
                <w:sz w:val="20"/>
                <w:szCs w:val="20"/>
                <w:lang w:eastAsia="en-US"/>
              </w:rPr>
              <w:t>Skaidrojums</w:t>
            </w:r>
          </w:p>
        </w:tc>
        <w:tc>
          <w:tcPr>
            <w:tcW w:w="7518" w:type="dxa"/>
          </w:tcPr>
          <w:p w14:paraId="567D5C4D" w14:textId="7084BA8A" w:rsidR="00D55EB9" w:rsidRPr="00394940" w:rsidRDefault="00D55EB9" w:rsidP="00D55EB9">
            <w:pPr>
              <w:shd w:val="clear" w:color="auto" w:fill="FFFFFF"/>
              <w:jc w:val="both"/>
              <w:rPr>
                <w:rFonts w:ascii="Arial" w:hAnsi="Arial" w:cs="Arial"/>
                <w:sz w:val="20"/>
                <w:szCs w:val="20"/>
              </w:rPr>
            </w:pPr>
            <w:r w:rsidRPr="00394940">
              <w:rPr>
                <w:rFonts w:ascii="Arial" w:hAnsi="Arial" w:cs="Arial"/>
                <w:sz w:val="20"/>
                <w:szCs w:val="20"/>
                <w:shd w:val="clear" w:color="auto" w:fill="FFFFFF"/>
              </w:rPr>
              <w:t>Liepājas pilsētai ir izstrādāts uz izpēti balstīts mārketinga komunikācijas plāns, kurā var iepazīties ar galvenajiem ziņojumiem un taktiskajiem soļiem, kā arī izprast mērķauditoriju definēšanas principus: h</w:t>
            </w:r>
            <w:hyperlink r:id="rId8" w:tgtFrame="_blank" w:history="1">
              <w:r w:rsidRPr="00394940">
                <w:rPr>
                  <w:rStyle w:val="Hipersaite"/>
                  <w:rFonts w:ascii="Arial" w:hAnsi="Arial" w:cs="Arial"/>
                  <w:color w:val="auto"/>
                  <w:sz w:val="20"/>
                  <w:szCs w:val="20"/>
                  <w:shd w:val="clear" w:color="auto" w:fill="FFFFFF"/>
                </w:rPr>
                <w:t>ttps://www.liepaja.lv/dokumenti/marketinga-komunikacijas-plans/?q=m%C4%81rketinga%20komunik%C4%81cijaas, </w:t>
              </w:r>
            </w:hyperlink>
            <w:r w:rsidRPr="00394940">
              <w:rPr>
                <w:rFonts w:ascii="Arial" w:hAnsi="Arial" w:cs="Arial"/>
                <w:sz w:val="20"/>
                <w:szCs w:val="20"/>
                <w:shd w:val="clear" w:color="auto" w:fill="FFFFFF"/>
              </w:rPr>
              <w:t>īpaši pievērš</w:t>
            </w:r>
            <w:r w:rsidRPr="00394940">
              <w:rPr>
                <w:rStyle w:val="object"/>
                <w:rFonts w:ascii="Arial" w:hAnsi="Arial" w:cs="Arial"/>
                <w:sz w:val="20"/>
                <w:szCs w:val="20"/>
                <w:shd w:val="clear" w:color="auto" w:fill="FFFFFF"/>
              </w:rPr>
              <w:t>ot</w:t>
            </w:r>
            <w:r w:rsidRPr="00394940">
              <w:rPr>
                <w:rFonts w:ascii="Arial" w:hAnsi="Arial" w:cs="Arial"/>
                <w:sz w:val="20"/>
                <w:szCs w:val="20"/>
                <w:shd w:val="clear" w:color="auto" w:fill="FFFFFF"/>
              </w:rPr>
              <w:t xml:space="preserve"> uzmanību 3., 5. un 6. sadaļai. Mērķauditoriju, ko Liepāja ir definējusi kā primāro, gatavojot piedāvājumu konkrētajai kampaņai, nevajadzētu pavisam aizmirst un izslēgt, jo komunikācijas plānā ir noteikts, ka šīs mērķauditorijas nozīme ir audzēt vidējo materiālo un emocionālo vērtību, ko Liepājai pienes katrs iedzīvotājs, apmeklētājs, uzņēmums (kas atspoguļojas arī pilsētas budžetā). Tomēr, gatavojot piedāvājumu konkrētajai kampaņai, iesakām vairāk uzmanību pievērst punktā 2.4. definētajiem aktivitāšu mērķiem, kur tikai 3.punkts pievēršas primārajai mērķauditorijai, līdz ar to lielāku uzsvaru </w:t>
            </w:r>
            <w:bookmarkStart w:id="5" w:name="_GoBack"/>
            <w:bookmarkEnd w:id="5"/>
            <w:r w:rsidRPr="00394940">
              <w:rPr>
                <w:rFonts w:ascii="Arial" w:hAnsi="Arial" w:cs="Arial"/>
                <w:sz w:val="20"/>
                <w:szCs w:val="20"/>
                <w:shd w:val="clear" w:color="auto" w:fill="FFFFFF"/>
              </w:rPr>
              <w:t>liekot uz pārējos aktivitāšu mērķos minētajām mērķauditorijām. </w:t>
            </w:r>
          </w:p>
        </w:tc>
      </w:tr>
      <w:tr w:rsidR="00A66200" w:rsidRPr="00717B36" w14:paraId="4CB976CF" w14:textId="77777777" w:rsidTr="00CB7811">
        <w:tc>
          <w:tcPr>
            <w:tcW w:w="9214" w:type="dxa"/>
            <w:gridSpan w:val="2"/>
            <w:shd w:val="clear" w:color="auto" w:fill="CCFFCC"/>
          </w:tcPr>
          <w:p w14:paraId="2F0422D8" w14:textId="77777777" w:rsidR="00A66200" w:rsidRPr="00717B36" w:rsidRDefault="00A66200" w:rsidP="00CB7811">
            <w:pPr>
              <w:tabs>
                <w:tab w:val="left" w:pos="2552"/>
              </w:tabs>
              <w:suppressAutoHyphens/>
              <w:autoSpaceDE w:val="0"/>
              <w:jc w:val="both"/>
              <w:rPr>
                <w:rFonts w:ascii="Arial" w:hAnsi="Arial" w:cs="Arial"/>
                <w:b/>
                <w:bCs/>
                <w:sz w:val="12"/>
                <w:szCs w:val="12"/>
                <w:lang w:eastAsia="ar-SA"/>
              </w:rPr>
            </w:pPr>
          </w:p>
        </w:tc>
      </w:tr>
      <w:tr w:rsidR="00F534F9" w:rsidRPr="00717B36" w14:paraId="61637B51" w14:textId="77777777" w:rsidTr="00717B36">
        <w:trPr>
          <w:trHeight w:val="73"/>
        </w:trPr>
        <w:tc>
          <w:tcPr>
            <w:tcW w:w="1696" w:type="dxa"/>
          </w:tcPr>
          <w:p w14:paraId="3705AD59" w14:textId="73C73C15" w:rsidR="00F534F9" w:rsidRPr="00717B36" w:rsidRDefault="00F534F9" w:rsidP="00717B36">
            <w:pPr>
              <w:pStyle w:val="Bezatstarpm"/>
              <w:rPr>
                <w:rFonts w:ascii="Arial" w:hAnsi="Arial" w:cs="Arial"/>
                <w:b/>
                <w:sz w:val="20"/>
                <w:szCs w:val="20"/>
                <w:highlight w:val="yellow"/>
                <w:lang w:eastAsia="en-US"/>
              </w:rPr>
            </w:pPr>
            <w:r w:rsidRPr="00717B36">
              <w:rPr>
                <w:rFonts w:ascii="Arial" w:hAnsi="Arial" w:cs="Arial"/>
                <w:b/>
                <w:sz w:val="20"/>
                <w:szCs w:val="20"/>
                <w:lang w:eastAsia="en-US"/>
              </w:rPr>
              <w:t>3.jautājums</w:t>
            </w:r>
          </w:p>
        </w:tc>
        <w:tc>
          <w:tcPr>
            <w:tcW w:w="7518" w:type="dxa"/>
          </w:tcPr>
          <w:p w14:paraId="4B218E78" w14:textId="033BB03D" w:rsidR="00F534F9" w:rsidRPr="00717B36" w:rsidRDefault="00717B36" w:rsidP="00717B36">
            <w:pPr>
              <w:pStyle w:val="Bezatstarpm"/>
              <w:jc w:val="both"/>
              <w:rPr>
                <w:rFonts w:ascii="Arial" w:hAnsi="Arial" w:cs="Arial"/>
                <w:color w:val="000000"/>
                <w:sz w:val="20"/>
                <w:szCs w:val="20"/>
              </w:rPr>
            </w:pPr>
            <w:r w:rsidRPr="00717B36">
              <w:rPr>
                <w:rFonts w:ascii="Arial" w:hAnsi="Arial" w:cs="Arial"/>
                <w:color w:val="000000"/>
                <w:sz w:val="20"/>
                <w:szCs w:val="20"/>
                <w:shd w:val="clear" w:color="auto" w:fill="FFFFFF"/>
              </w:rPr>
              <w:t xml:space="preserve">Konkursa nolikumā ir minēts, ka mums ir jārekomendē vēlamais budžets.  Taču zem saites ir norādīts, ka iepirkuma profila sliekšņi ir 144 000 – 1 000 000 EUR apmērā) </w:t>
            </w:r>
            <w:hyperlink r:id="rId9" w:tgtFrame="_blank" w:history="1">
              <w:r w:rsidRPr="00717B36">
                <w:rPr>
                  <w:rStyle w:val="Hipersaite"/>
                  <w:rFonts w:ascii="Arial" w:hAnsi="Arial" w:cs="Arial"/>
                  <w:color w:val="005A95"/>
                  <w:sz w:val="20"/>
                  <w:szCs w:val="20"/>
                  <w:shd w:val="clear" w:color="auto" w:fill="FFFFFF"/>
                </w:rPr>
                <w:t>https://www.eis.gov.lv/EKEIS/Supplier/Procurement/19782</w:t>
              </w:r>
            </w:hyperlink>
            <w:r w:rsidRPr="00717B36">
              <w:rPr>
                <w:rFonts w:ascii="Arial" w:hAnsi="Arial" w:cs="Arial"/>
                <w:color w:val="000000"/>
                <w:sz w:val="20"/>
                <w:szCs w:val="20"/>
                <w:shd w:val="clear" w:color="auto" w:fill="FFFFFF"/>
              </w:rPr>
              <w:t>. Vai šis punkts norāda, ka iepirkumam minimālā vērtība drīkst būt šie 144 000 EUR uz divu gadu iepirkuma periodu?</w:t>
            </w:r>
          </w:p>
        </w:tc>
      </w:tr>
      <w:tr w:rsidR="00F534F9" w:rsidRPr="00717B36" w14:paraId="64BC77C1" w14:textId="77777777" w:rsidTr="0015640A">
        <w:trPr>
          <w:trHeight w:val="70"/>
        </w:trPr>
        <w:tc>
          <w:tcPr>
            <w:tcW w:w="1696" w:type="dxa"/>
          </w:tcPr>
          <w:p w14:paraId="407EB794" w14:textId="77777777" w:rsidR="00F534F9" w:rsidRPr="00717B36" w:rsidRDefault="00F534F9" w:rsidP="0015640A">
            <w:pPr>
              <w:pStyle w:val="Bezatstarpm"/>
              <w:rPr>
                <w:rFonts w:ascii="Arial" w:hAnsi="Arial" w:cs="Arial"/>
                <w:b/>
                <w:sz w:val="20"/>
                <w:szCs w:val="20"/>
                <w:highlight w:val="yellow"/>
                <w:lang w:eastAsia="en-US"/>
              </w:rPr>
            </w:pPr>
            <w:r w:rsidRPr="00717B36">
              <w:rPr>
                <w:rFonts w:ascii="Arial" w:hAnsi="Arial" w:cs="Arial"/>
                <w:b/>
                <w:sz w:val="20"/>
                <w:szCs w:val="20"/>
                <w:lang w:eastAsia="en-US"/>
              </w:rPr>
              <w:lastRenderedPageBreak/>
              <w:t>Skaidrojums</w:t>
            </w:r>
          </w:p>
        </w:tc>
        <w:tc>
          <w:tcPr>
            <w:tcW w:w="7518" w:type="dxa"/>
          </w:tcPr>
          <w:p w14:paraId="58558AD8" w14:textId="2245046B" w:rsidR="00F534F9" w:rsidRPr="00717B36" w:rsidRDefault="007C0C17" w:rsidP="00577019">
            <w:pPr>
              <w:pStyle w:val="Bezatstarpm"/>
              <w:jc w:val="both"/>
              <w:rPr>
                <w:rFonts w:ascii="Arial" w:hAnsi="Arial" w:cs="Arial"/>
                <w:sz w:val="20"/>
                <w:szCs w:val="20"/>
              </w:rPr>
            </w:pPr>
            <w:r>
              <w:rPr>
                <w:rFonts w:ascii="Arial" w:hAnsi="Arial" w:cs="Arial"/>
                <w:sz w:val="20"/>
                <w:szCs w:val="20"/>
              </w:rPr>
              <w:t>I</w:t>
            </w:r>
            <w:r w:rsidR="00717B36" w:rsidRPr="00717B36">
              <w:rPr>
                <w:rFonts w:ascii="Arial" w:hAnsi="Arial" w:cs="Arial"/>
                <w:sz w:val="20"/>
                <w:szCs w:val="20"/>
              </w:rPr>
              <w:t xml:space="preserve">epirkuma minimālā vērtība nav EUR 144 000,00, neskaitot PVN. Pretendenti var piedāvāt </w:t>
            </w:r>
            <w:r w:rsidR="00577019">
              <w:rPr>
                <w:rFonts w:ascii="Arial" w:hAnsi="Arial" w:cs="Arial"/>
                <w:sz w:val="20"/>
                <w:szCs w:val="20"/>
              </w:rPr>
              <w:t>vēlamo budžetu</w:t>
            </w:r>
            <w:r w:rsidR="00717B36" w:rsidRPr="00717B36">
              <w:rPr>
                <w:rFonts w:ascii="Arial" w:hAnsi="Arial" w:cs="Arial"/>
                <w:sz w:val="20"/>
                <w:szCs w:val="20"/>
              </w:rPr>
              <w:t>, kas ir zem</w:t>
            </w:r>
            <w:r w:rsidR="00577019">
              <w:rPr>
                <w:rFonts w:ascii="Arial" w:hAnsi="Arial" w:cs="Arial"/>
                <w:sz w:val="20"/>
                <w:szCs w:val="20"/>
              </w:rPr>
              <w:t>āks par</w:t>
            </w:r>
            <w:r w:rsidR="00717B36" w:rsidRPr="00717B36">
              <w:rPr>
                <w:rFonts w:ascii="Arial" w:hAnsi="Arial" w:cs="Arial"/>
                <w:sz w:val="20"/>
                <w:szCs w:val="20"/>
              </w:rPr>
              <w:t xml:space="preserve"> EUR 144 000,00, neskaitot PVN.</w:t>
            </w:r>
          </w:p>
        </w:tc>
      </w:tr>
      <w:tr w:rsidR="00F534F9" w:rsidRPr="00717B36" w14:paraId="326D56EF" w14:textId="77777777" w:rsidTr="0015640A">
        <w:tc>
          <w:tcPr>
            <w:tcW w:w="9214" w:type="dxa"/>
            <w:gridSpan w:val="2"/>
            <w:shd w:val="clear" w:color="auto" w:fill="CCFFCC"/>
          </w:tcPr>
          <w:p w14:paraId="2D4B078C" w14:textId="77777777" w:rsidR="00F534F9" w:rsidRPr="00717B36" w:rsidRDefault="00F534F9" w:rsidP="0015640A">
            <w:pPr>
              <w:tabs>
                <w:tab w:val="left" w:pos="2552"/>
              </w:tabs>
              <w:suppressAutoHyphens/>
              <w:autoSpaceDE w:val="0"/>
              <w:jc w:val="both"/>
              <w:rPr>
                <w:rFonts w:ascii="Arial" w:hAnsi="Arial" w:cs="Arial"/>
                <w:b/>
                <w:bCs/>
                <w:sz w:val="12"/>
                <w:szCs w:val="12"/>
                <w:lang w:eastAsia="ar-SA"/>
              </w:rPr>
            </w:pPr>
          </w:p>
        </w:tc>
      </w:tr>
    </w:tbl>
    <w:p w14:paraId="7E7997DC" w14:textId="77777777" w:rsidR="006376F6" w:rsidRPr="00717B36" w:rsidRDefault="006376F6" w:rsidP="00032669">
      <w:pPr>
        <w:spacing w:before="20" w:after="20"/>
        <w:rPr>
          <w:rFonts w:ascii="Arial" w:hAnsi="Arial" w:cs="Arial"/>
          <w:b/>
          <w:sz w:val="20"/>
          <w:szCs w:val="20"/>
          <w:lang w:eastAsia="en-US"/>
        </w:rPr>
      </w:pPr>
    </w:p>
    <w:sectPr w:rsidR="006376F6" w:rsidRPr="00717B36" w:rsidSect="004E05BA">
      <w:headerReference w:type="default" r:id="rId10"/>
      <w:footerReference w:type="default" r:id="rId11"/>
      <w:headerReference w:type="first" r:id="rId12"/>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rsidR="00394940">
          <w:rPr>
            <w:noProof/>
          </w:rP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B6B15EF"/>
    <w:multiLevelType w:val="multilevel"/>
    <w:tmpl w:val="5D6C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60D0467D"/>
    <w:multiLevelType w:val="multilevel"/>
    <w:tmpl w:val="CC4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2"/>
  </w:num>
  <w:num w:numId="6">
    <w:abstractNumId w:val="10"/>
  </w:num>
  <w:num w:numId="7">
    <w:abstractNumId w:val="3"/>
  </w:num>
  <w:num w:numId="8">
    <w:abstractNumId w:val="20"/>
  </w:num>
  <w:num w:numId="9">
    <w:abstractNumId w:val="6"/>
  </w:num>
  <w:num w:numId="10">
    <w:abstractNumId w:val="5"/>
  </w:num>
  <w:num w:numId="11">
    <w:abstractNumId w:val="20"/>
  </w:num>
  <w:num w:numId="12">
    <w:abstractNumId w:val="6"/>
  </w:num>
  <w:num w:numId="13">
    <w:abstractNumId w:val="17"/>
  </w:num>
  <w:num w:numId="14">
    <w:abstractNumId w:val="15"/>
  </w:num>
  <w:num w:numId="15">
    <w:abstractNumId w:val="19"/>
  </w:num>
  <w:num w:numId="16">
    <w:abstractNumId w:val="16"/>
  </w:num>
  <w:num w:numId="17">
    <w:abstractNumId w:val="14"/>
  </w:num>
  <w:num w:numId="18">
    <w:abstractNumId w:val="4"/>
  </w:num>
  <w:num w:numId="19">
    <w:abstractNumId w:val="8"/>
  </w:num>
  <w:num w:numId="20">
    <w:abstractNumId w:val="9"/>
  </w:num>
  <w:num w:numId="21">
    <w:abstractNumId w:val="13"/>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07FFA"/>
    <w:rsid w:val="0001269C"/>
    <w:rsid w:val="000148CA"/>
    <w:rsid w:val="000212D5"/>
    <w:rsid w:val="000246E3"/>
    <w:rsid w:val="000312A1"/>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42F"/>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2DF7"/>
    <w:rsid w:val="00383A00"/>
    <w:rsid w:val="00393190"/>
    <w:rsid w:val="0039494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77019"/>
    <w:rsid w:val="005A2099"/>
    <w:rsid w:val="005B33BE"/>
    <w:rsid w:val="005B5760"/>
    <w:rsid w:val="005B5B18"/>
    <w:rsid w:val="005C1FD9"/>
    <w:rsid w:val="005D255D"/>
    <w:rsid w:val="005D29D0"/>
    <w:rsid w:val="005D3BF3"/>
    <w:rsid w:val="005D5BFB"/>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22BF"/>
    <w:rsid w:val="0069314B"/>
    <w:rsid w:val="00694433"/>
    <w:rsid w:val="006A0E36"/>
    <w:rsid w:val="006B2C66"/>
    <w:rsid w:val="006B31A1"/>
    <w:rsid w:val="006C69D2"/>
    <w:rsid w:val="006D0D39"/>
    <w:rsid w:val="006D1729"/>
    <w:rsid w:val="006D4FBC"/>
    <w:rsid w:val="006D5EF7"/>
    <w:rsid w:val="006D632F"/>
    <w:rsid w:val="006E5122"/>
    <w:rsid w:val="006E7097"/>
    <w:rsid w:val="006F4F03"/>
    <w:rsid w:val="006F7D94"/>
    <w:rsid w:val="00704F88"/>
    <w:rsid w:val="007056F9"/>
    <w:rsid w:val="0070791A"/>
    <w:rsid w:val="00710081"/>
    <w:rsid w:val="00717B36"/>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0C17"/>
    <w:rsid w:val="007C184C"/>
    <w:rsid w:val="007C7317"/>
    <w:rsid w:val="007D2A66"/>
    <w:rsid w:val="007D47E3"/>
    <w:rsid w:val="007D4EA5"/>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1FA3"/>
    <w:rsid w:val="00854856"/>
    <w:rsid w:val="00856840"/>
    <w:rsid w:val="00863A03"/>
    <w:rsid w:val="00864702"/>
    <w:rsid w:val="0087462A"/>
    <w:rsid w:val="00876669"/>
    <w:rsid w:val="00887E07"/>
    <w:rsid w:val="008928FB"/>
    <w:rsid w:val="00896E7E"/>
    <w:rsid w:val="008A3384"/>
    <w:rsid w:val="008A65EA"/>
    <w:rsid w:val="008B10F6"/>
    <w:rsid w:val="008B4511"/>
    <w:rsid w:val="008B4C0A"/>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22426"/>
    <w:rsid w:val="00A24696"/>
    <w:rsid w:val="00A25642"/>
    <w:rsid w:val="00A27DB1"/>
    <w:rsid w:val="00A34670"/>
    <w:rsid w:val="00A43292"/>
    <w:rsid w:val="00A55CAE"/>
    <w:rsid w:val="00A56EAF"/>
    <w:rsid w:val="00A64167"/>
    <w:rsid w:val="00A66200"/>
    <w:rsid w:val="00A72CAC"/>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0445"/>
    <w:rsid w:val="00D03C2E"/>
    <w:rsid w:val="00D1697F"/>
    <w:rsid w:val="00D25DF2"/>
    <w:rsid w:val="00D436CA"/>
    <w:rsid w:val="00D52EB5"/>
    <w:rsid w:val="00D55EB9"/>
    <w:rsid w:val="00D62047"/>
    <w:rsid w:val="00D63773"/>
    <w:rsid w:val="00D65789"/>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4794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1226D"/>
    <w:rsid w:val="00F14D7E"/>
    <w:rsid w:val="00F26A2A"/>
    <w:rsid w:val="00F274BF"/>
    <w:rsid w:val="00F30DB7"/>
    <w:rsid w:val="00F44FBD"/>
    <w:rsid w:val="00F465E9"/>
    <w:rsid w:val="00F5167C"/>
    <w:rsid w:val="00F517EA"/>
    <w:rsid w:val="00F524E5"/>
    <w:rsid w:val="00F534F9"/>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282736222">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199389081">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03898852">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paja.lv/dokumenti/marketinga-komunikacijas-plans/?q=m%C4%81rketinga%20komunik%C4%81cija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EKEIS/Supplier/Procurement/19782"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740A-DAC9-402B-BD8B-AA640D67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2198</Words>
  <Characters>1253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10</cp:revision>
  <cp:lastPrinted>2019-03-04T12:41:00Z</cp:lastPrinted>
  <dcterms:created xsi:type="dcterms:W3CDTF">2019-05-10T10:20:00Z</dcterms:created>
  <dcterms:modified xsi:type="dcterms:W3CDTF">2019-05-15T12:39:00Z</dcterms:modified>
</cp:coreProperties>
</file>