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052E" w14:textId="77777777" w:rsidR="000F232A" w:rsidRPr="0042734D" w:rsidRDefault="000F232A" w:rsidP="00032669">
      <w:pPr>
        <w:widowControl w:val="0"/>
        <w:autoSpaceDE w:val="0"/>
        <w:autoSpaceDN w:val="0"/>
        <w:adjustRightInd w:val="0"/>
        <w:jc w:val="center"/>
        <w:rPr>
          <w:rFonts w:ascii="Arial" w:hAnsi="Arial" w:cs="Arial"/>
          <w:b/>
          <w:bCs/>
          <w:sz w:val="20"/>
          <w:szCs w:val="20"/>
        </w:rPr>
      </w:pPr>
    </w:p>
    <w:p w14:paraId="0E314052" w14:textId="77777777" w:rsidR="00B4657F" w:rsidRPr="0042734D" w:rsidRDefault="00B4657F" w:rsidP="00032669">
      <w:pPr>
        <w:widowControl w:val="0"/>
        <w:autoSpaceDE w:val="0"/>
        <w:autoSpaceDN w:val="0"/>
        <w:adjustRightInd w:val="0"/>
        <w:jc w:val="right"/>
        <w:rPr>
          <w:rFonts w:ascii="Arial" w:hAnsi="Arial" w:cs="Arial"/>
          <w:b/>
          <w:bCs/>
          <w:sz w:val="20"/>
          <w:szCs w:val="20"/>
        </w:rPr>
      </w:pPr>
      <w:r w:rsidRPr="0042734D">
        <w:rPr>
          <w:rFonts w:ascii="Arial" w:hAnsi="Arial" w:cs="Arial"/>
          <w:b/>
          <w:bCs/>
          <w:sz w:val="20"/>
          <w:szCs w:val="20"/>
        </w:rPr>
        <w:t>APSTIPRINĀTS</w:t>
      </w:r>
    </w:p>
    <w:p w14:paraId="127D41D7" w14:textId="77777777" w:rsidR="00B4657F" w:rsidRPr="0042734D" w:rsidRDefault="00B4657F" w:rsidP="00032669">
      <w:pPr>
        <w:widowControl w:val="0"/>
        <w:autoSpaceDE w:val="0"/>
        <w:autoSpaceDN w:val="0"/>
        <w:adjustRightInd w:val="0"/>
        <w:jc w:val="right"/>
        <w:rPr>
          <w:rFonts w:ascii="Arial" w:hAnsi="Arial" w:cs="Arial"/>
          <w:bCs/>
          <w:sz w:val="20"/>
          <w:szCs w:val="20"/>
        </w:rPr>
      </w:pPr>
      <w:r w:rsidRPr="0042734D">
        <w:rPr>
          <w:rFonts w:ascii="Arial" w:hAnsi="Arial" w:cs="Arial"/>
          <w:bCs/>
          <w:sz w:val="20"/>
          <w:szCs w:val="20"/>
        </w:rPr>
        <w:t>Liepājas pilsētas domes Iepirkumu komisijas</w:t>
      </w:r>
    </w:p>
    <w:p w14:paraId="17616375" w14:textId="50EA0F46" w:rsidR="00B4657F" w:rsidRPr="0042734D" w:rsidRDefault="00B4657F" w:rsidP="00032669">
      <w:pPr>
        <w:widowControl w:val="0"/>
        <w:autoSpaceDE w:val="0"/>
        <w:autoSpaceDN w:val="0"/>
        <w:adjustRightInd w:val="0"/>
        <w:jc w:val="right"/>
        <w:rPr>
          <w:rFonts w:ascii="Arial" w:hAnsi="Arial" w:cs="Arial"/>
          <w:bCs/>
          <w:sz w:val="20"/>
          <w:szCs w:val="20"/>
        </w:rPr>
      </w:pPr>
      <w:r w:rsidRPr="0042734D">
        <w:rPr>
          <w:rFonts w:ascii="Arial" w:hAnsi="Arial" w:cs="Arial"/>
          <w:bCs/>
          <w:sz w:val="20"/>
          <w:szCs w:val="20"/>
        </w:rPr>
        <w:t xml:space="preserve"> 201</w:t>
      </w:r>
      <w:r w:rsidR="002B4A91" w:rsidRPr="0042734D">
        <w:rPr>
          <w:rFonts w:ascii="Arial" w:hAnsi="Arial" w:cs="Arial"/>
          <w:bCs/>
          <w:sz w:val="20"/>
          <w:szCs w:val="20"/>
        </w:rPr>
        <w:t>9</w:t>
      </w:r>
      <w:r w:rsidRPr="0042734D">
        <w:rPr>
          <w:rFonts w:ascii="Arial" w:hAnsi="Arial" w:cs="Arial"/>
          <w:bCs/>
          <w:sz w:val="20"/>
          <w:szCs w:val="20"/>
        </w:rPr>
        <w:t>.gada</w:t>
      </w:r>
      <w:r w:rsidR="00B379B5" w:rsidRPr="0042734D">
        <w:rPr>
          <w:rFonts w:ascii="Arial" w:hAnsi="Arial" w:cs="Arial"/>
          <w:bCs/>
          <w:sz w:val="20"/>
          <w:szCs w:val="20"/>
        </w:rPr>
        <w:t xml:space="preserve"> </w:t>
      </w:r>
      <w:r w:rsidR="00B861E8" w:rsidRPr="0042734D">
        <w:rPr>
          <w:rFonts w:ascii="Arial" w:hAnsi="Arial" w:cs="Arial"/>
          <w:bCs/>
          <w:sz w:val="20"/>
          <w:szCs w:val="20"/>
        </w:rPr>
        <w:t>2</w:t>
      </w:r>
      <w:r w:rsidRPr="0042734D">
        <w:rPr>
          <w:rFonts w:ascii="Arial" w:hAnsi="Arial" w:cs="Arial"/>
          <w:bCs/>
          <w:sz w:val="20"/>
          <w:szCs w:val="20"/>
        </w:rPr>
        <w:t>.</w:t>
      </w:r>
      <w:r w:rsidR="006A6D36" w:rsidRPr="0042734D">
        <w:rPr>
          <w:rFonts w:ascii="Arial" w:hAnsi="Arial" w:cs="Arial"/>
          <w:bCs/>
          <w:sz w:val="20"/>
          <w:szCs w:val="20"/>
        </w:rPr>
        <w:t>oktobr</w:t>
      </w:r>
      <w:r w:rsidR="006922BF" w:rsidRPr="0042734D">
        <w:rPr>
          <w:rFonts w:ascii="Arial" w:hAnsi="Arial" w:cs="Arial"/>
          <w:bCs/>
          <w:sz w:val="20"/>
          <w:szCs w:val="20"/>
        </w:rPr>
        <w:t xml:space="preserve">a </w:t>
      </w:r>
      <w:r w:rsidRPr="0042734D">
        <w:rPr>
          <w:rFonts w:ascii="Arial" w:hAnsi="Arial" w:cs="Arial"/>
          <w:bCs/>
          <w:sz w:val="20"/>
          <w:szCs w:val="20"/>
        </w:rPr>
        <w:t>sēdē, protokols Nr.</w:t>
      </w:r>
      <w:r w:rsidR="00D71F7F" w:rsidRPr="0042734D">
        <w:rPr>
          <w:rFonts w:ascii="Arial" w:hAnsi="Arial" w:cs="Arial"/>
          <w:bCs/>
          <w:sz w:val="20"/>
          <w:szCs w:val="20"/>
        </w:rPr>
        <w:t>2</w:t>
      </w:r>
      <w:r w:rsidRPr="0042734D">
        <w:rPr>
          <w:rFonts w:ascii="Arial" w:hAnsi="Arial" w:cs="Arial"/>
          <w:bCs/>
          <w:sz w:val="20"/>
          <w:szCs w:val="20"/>
        </w:rPr>
        <w:t xml:space="preserve"> </w:t>
      </w:r>
    </w:p>
    <w:p w14:paraId="06F0F9F4" w14:textId="77777777" w:rsidR="00B4657F" w:rsidRPr="0042734D" w:rsidRDefault="00B4657F" w:rsidP="00032669">
      <w:pPr>
        <w:jc w:val="both"/>
        <w:rPr>
          <w:rFonts w:ascii="Arial" w:hAnsi="Arial" w:cs="Arial"/>
          <w:b/>
          <w:sz w:val="20"/>
          <w:szCs w:val="20"/>
          <w:lang w:eastAsia="en-US"/>
        </w:rPr>
      </w:pPr>
    </w:p>
    <w:p w14:paraId="50ADC08F" w14:textId="77777777" w:rsidR="0070791A" w:rsidRPr="0042734D" w:rsidRDefault="0070791A" w:rsidP="00032669">
      <w:pPr>
        <w:jc w:val="both"/>
        <w:rPr>
          <w:rFonts w:ascii="Arial" w:hAnsi="Arial" w:cs="Arial"/>
          <w:b/>
          <w:sz w:val="20"/>
          <w:szCs w:val="20"/>
          <w:lang w:eastAsia="en-US"/>
        </w:rPr>
      </w:pPr>
    </w:p>
    <w:p w14:paraId="6C6E80E3" w14:textId="77777777" w:rsidR="0070791A" w:rsidRPr="0042734D" w:rsidRDefault="0070791A" w:rsidP="00032669">
      <w:pPr>
        <w:jc w:val="both"/>
        <w:rPr>
          <w:rFonts w:ascii="Arial" w:hAnsi="Arial" w:cs="Arial"/>
          <w:b/>
          <w:sz w:val="20"/>
          <w:szCs w:val="20"/>
          <w:lang w:eastAsia="en-US"/>
        </w:rPr>
      </w:pPr>
    </w:p>
    <w:p w14:paraId="2D350486" w14:textId="77777777" w:rsidR="0070791A" w:rsidRPr="0042734D" w:rsidRDefault="0070791A" w:rsidP="00032669">
      <w:pPr>
        <w:jc w:val="both"/>
        <w:rPr>
          <w:rFonts w:ascii="Arial" w:hAnsi="Arial" w:cs="Arial"/>
          <w:b/>
          <w:sz w:val="20"/>
          <w:szCs w:val="20"/>
          <w:lang w:eastAsia="en-US"/>
        </w:rPr>
      </w:pPr>
    </w:p>
    <w:p w14:paraId="5E8A7A74" w14:textId="50FBD59F" w:rsidR="00B4657F" w:rsidRPr="0042734D" w:rsidRDefault="00B4657F" w:rsidP="006A6D36">
      <w:pPr>
        <w:autoSpaceDE w:val="0"/>
        <w:autoSpaceDN w:val="0"/>
        <w:adjustRightInd w:val="0"/>
        <w:jc w:val="both"/>
        <w:rPr>
          <w:rFonts w:ascii="Arial" w:hAnsi="Arial" w:cs="Arial"/>
          <w:b/>
          <w:sz w:val="20"/>
          <w:szCs w:val="20"/>
        </w:rPr>
      </w:pPr>
      <w:r w:rsidRPr="0042734D">
        <w:rPr>
          <w:rFonts w:ascii="Arial" w:hAnsi="Arial" w:cs="Arial"/>
          <w:b/>
          <w:sz w:val="20"/>
          <w:szCs w:val="20"/>
          <w:lang w:eastAsia="en-US"/>
        </w:rPr>
        <w:t xml:space="preserve">Par </w:t>
      </w:r>
      <w:r w:rsidR="0056331F" w:rsidRPr="0042734D">
        <w:rPr>
          <w:rFonts w:ascii="Arial" w:hAnsi="Arial" w:cs="Arial"/>
          <w:b/>
          <w:sz w:val="20"/>
          <w:szCs w:val="20"/>
          <w:lang w:eastAsia="en-US"/>
        </w:rPr>
        <w:t>atklāta konkursa</w:t>
      </w:r>
      <w:r w:rsidRPr="0042734D">
        <w:rPr>
          <w:rFonts w:ascii="Arial" w:hAnsi="Arial" w:cs="Arial"/>
          <w:b/>
          <w:sz w:val="20"/>
          <w:szCs w:val="20"/>
          <w:lang w:eastAsia="en-US"/>
        </w:rPr>
        <w:t xml:space="preserve"> </w:t>
      </w:r>
      <w:r w:rsidRPr="0042734D">
        <w:rPr>
          <w:rFonts w:ascii="Arial" w:eastAsia="Calibri" w:hAnsi="Arial" w:cs="Arial"/>
          <w:b/>
          <w:i/>
          <w:sz w:val="20"/>
          <w:szCs w:val="20"/>
          <w:lang w:eastAsia="en-US"/>
        </w:rPr>
        <w:t>“</w:t>
      </w:r>
      <w:r w:rsidR="00980AD2" w:rsidRPr="0042734D">
        <w:rPr>
          <w:rFonts w:ascii="Arial" w:hAnsi="Arial" w:cs="Arial"/>
          <w:b/>
          <w:sz w:val="20"/>
          <w:szCs w:val="20"/>
        </w:rPr>
        <w:t>Par tiesībām veikt būvdarbus objektā “Ielu brauktuvju posmu seguma atjaunošana uz dienvidiem no Tirdzniecības kanāla, Liepājā</w:t>
      </w:r>
      <w:r w:rsidR="006A6D36" w:rsidRPr="0042734D">
        <w:rPr>
          <w:rFonts w:ascii="Arial" w:hAnsi="Arial" w:cs="Arial"/>
          <w:b/>
          <w:sz w:val="20"/>
          <w:szCs w:val="20"/>
        </w:rPr>
        <w:t>”</w:t>
      </w:r>
      <w:r w:rsidR="00BE0445" w:rsidRPr="0042734D">
        <w:rPr>
          <w:rFonts w:ascii="Arial" w:eastAsia="Calibri" w:hAnsi="Arial" w:cs="Arial"/>
          <w:b/>
          <w:i/>
          <w:sz w:val="20"/>
          <w:szCs w:val="20"/>
          <w:lang w:eastAsia="en-US"/>
        </w:rPr>
        <w:t xml:space="preserve">” </w:t>
      </w:r>
      <w:r w:rsidRPr="0042734D">
        <w:rPr>
          <w:rFonts w:ascii="Arial" w:eastAsia="Calibri" w:hAnsi="Arial" w:cs="Arial"/>
          <w:bCs/>
          <w:sz w:val="20"/>
          <w:szCs w:val="20"/>
          <w:lang w:eastAsia="en-US"/>
        </w:rPr>
        <w:t>(LPP 201</w:t>
      </w:r>
      <w:r w:rsidR="00D71F7F" w:rsidRPr="0042734D">
        <w:rPr>
          <w:rFonts w:ascii="Arial" w:eastAsia="Calibri" w:hAnsi="Arial" w:cs="Arial"/>
          <w:bCs/>
          <w:sz w:val="20"/>
          <w:szCs w:val="20"/>
          <w:lang w:eastAsia="en-US"/>
        </w:rPr>
        <w:t>9</w:t>
      </w:r>
      <w:r w:rsidR="00537B5A" w:rsidRPr="0042734D">
        <w:rPr>
          <w:rFonts w:ascii="Arial" w:eastAsia="Calibri" w:hAnsi="Arial" w:cs="Arial"/>
          <w:bCs/>
          <w:sz w:val="20"/>
          <w:szCs w:val="20"/>
          <w:lang w:eastAsia="en-US"/>
        </w:rPr>
        <w:t>/</w:t>
      </w:r>
      <w:r w:rsidR="00980AD2" w:rsidRPr="0042734D">
        <w:rPr>
          <w:rFonts w:ascii="Arial" w:eastAsia="Calibri" w:hAnsi="Arial" w:cs="Arial"/>
          <w:bCs/>
          <w:sz w:val="20"/>
          <w:szCs w:val="20"/>
          <w:lang w:eastAsia="en-US"/>
        </w:rPr>
        <w:t>105</w:t>
      </w:r>
      <w:r w:rsidRPr="0042734D">
        <w:rPr>
          <w:rFonts w:ascii="Arial" w:eastAsia="Calibri" w:hAnsi="Arial" w:cs="Arial"/>
          <w:bCs/>
          <w:sz w:val="20"/>
          <w:szCs w:val="20"/>
          <w:lang w:eastAsia="en-US"/>
        </w:rPr>
        <w:t xml:space="preserve">) </w:t>
      </w:r>
      <w:r w:rsidR="00980AD2" w:rsidRPr="0042734D">
        <w:rPr>
          <w:rFonts w:ascii="Arial" w:hAnsi="Arial" w:cs="Arial"/>
          <w:b/>
          <w:sz w:val="20"/>
          <w:szCs w:val="20"/>
        </w:rPr>
        <w:t>nolikuma skaidrojumiem</w:t>
      </w:r>
      <w:r w:rsidR="00051DC2" w:rsidRPr="0042734D">
        <w:rPr>
          <w:rFonts w:ascii="Arial" w:hAnsi="Arial" w:cs="Arial"/>
          <w:b/>
          <w:sz w:val="20"/>
          <w:szCs w:val="20"/>
          <w:lang w:eastAsia="en-US"/>
        </w:rPr>
        <w:t>.</w:t>
      </w:r>
    </w:p>
    <w:p w14:paraId="1C6AC12D" w14:textId="77777777" w:rsidR="00FA7F76" w:rsidRPr="0042734D" w:rsidRDefault="00FA7F76" w:rsidP="00032669">
      <w:pPr>
        <w:jc w:val="both"/>
        <w:rPr>
          <w:rFonts w:ascii="Arial" w:eastAsia="Calibri" w:hAnsi="Arial" w:cs="Arial"/>
          <w:bCs/>
          <w:sz w:val="20"/>
          <w:szCs w:val="20"/>
          <w:lang w:eastAsia="en-US"/>
        </w:rPr>
      </w:pPr>
    </w:p>
    <w:tbl>
      <w:tblPr>
        <w:tblW w:w="9923" w:type="dxa"/>
        <w:tblLayout w:type="fixed"/>
        <w:tblLook w:val="0000" w:firstRow="0" w:lastRow="0" w:firstColumn="0" w:lastColumn="0" w:noHBand="0" w:noVBand="0"/>
      </w:tblPr>
      <w:tblGrid>
        <w:gridCol w:w="1809"/>
        <w:gridCol w:w="8114"/>
      </w:tblGrid>
      <w:tr w:rsidR="0042734D" w:rsidRPr="0042734D" w14:paraId="739E0F99" w14:textId="77777777" w:rsidTr="00E63957">
        <w:tc>
          <w:tcPr>
            <w:tcW w:w="9923" w:type="dxa"/>
            <w:gridSpan w:val="2"/>
            <w:shd w:val="clear" w:color="auto" w:fill="CCFFCC"/>
          </w:tcPr>
          <w:p w14:paraId="0188AE94" w14:textId="77777777" w:rsidR="00B4657F" w:rsidRPr="0042734D" w:rsidRDefault="00B4657F" w:rsidP="00032669">
            <w:pPr>
              <w:autoSpaceDE w:val="0"/>
              <w:autoSpaceDN w:val="0"/>
              <w:adjustRightInd w:val="0"/>
              <w:jc w:val="both"/>
              <w:rPr>
                <w:rFonts w:ascii="Arial" w:hAnsi="Arial" w:cs="Arial"/>
                <w:sz w:val="12"/>
                <w:szCs w:val="12"/>
                <w:lang w:eastAsia="en-US"/>
              </w:rPr>
            </w:pPr>
            <w:bookmarkStart w:id="0" w:name="_Hlk500400723"/>
            <w:bookmarkStart w:id="1" w:name="_Hlk507760749"/>
            <w:bookmarkStart w:id="2" w:name="_Hlk507761961"/>
            <w:bookmarkStart w:id="3" w:name="_Hlk535416920"/>
          </w:p>
        </w:tc>
      </w:tr>
      <w:tr w:rsidR="0042734D" w:rsidRPr="0042734D" w14:paraId="1D125646" w14:textId="77777777" w:rsidTr="00E63957">
        <w:tc>
          <w:tcPr>
            <w:tcW w:w="1809" w:type="dxa"/>
          </w:tcPr>
          <w:p w14:paraId="47AC110D" w14:textId="7F984A7E" w:rsidR="00980AD2" w:rsidRPr="0042734D" w:rsidRDefault="00886EDC" w:rsidP="00032669">
            <w:pPr>
              <w:spacing w:before="80" w:after="80"/>
              <w:rPr>
                <w:rFonts w:ascii="Arial" w:hAnsi="Arial" w:cs="Arial"/>
                <w:b/>
                <w:bCs/>
                <w:sz w:val="20"/>
                <w:szCs w:val="20"/>
                <w:lang w:eastAsia="en-US"/>
              </w:rPr>
            </w:pPr>
            <w:r w:rsidRPr="0042734D">
              <w:rPr>
                <w:rFonts w:ascii="Arial" w:hAnsi="Arial" w:cs="Arial"/>
                <w:b/>
                <w:bCs/>
                <w:sz w:val="20"/>
                <w:szCs w:val="20"/>
                <w:lang w:eastAsia="en-US"/>
              </w:rPr>
              <w:t>1.</w:t>
            </w:r>
            <w:r w:rsidR="00980AD2" w:rsidRPr="0042734D">
              <w:rPr>
                <w:rFonts w:ascii="Arial" w:hAnsi="Arial" w:cs="Arial"/>
                <w:b/>
                <w:bCs/>
                <w:sz w:val="20"/>
                <w:szCs w:val="20"/>
                <w:lang w:eastAsia="en-US"/>
              </w:rPr>
              <w:t>Jautājums</w:t>
            </w:r>
          </w:p>
        </w:tc>
        <w:tc>
          <w:tcPr>
            <w:tcW w:w="8114" w:type="dxa"/>
          </w:tcPr>
          <w:p w14:paraId="1FC7CBCC" w14:textId="5CC4730A" w:rsidR="00980AD2" w:rsidRPr="0042734D" w:rsidRDefault="00980AD2" w:rsidP="00980AD2">
            <w:pPr>
              <w:jc w:val="both"/>
              <w:rPr>
                <w:rFonts w:ascii="Arial" w:hAnsi="Arial" w:cs="Arial"/>
                <w:sz w:val="20"/>
                <w:szCs w:val="20"/>
              </w:rPr>
            </w:pPr>
            <w:r w:rsidRPr="0042734D">
              <w:rPr>
                <w:rFonts w:ascii="Arial" w:hAnsi="Arial" w:cs="Arial"/>
                <w:sz w:val="20"/>
                <w:szCs w:val="20"/>
              </w:rPr>
              <w:t>Atbilstoši konkursa nolikuma 2.2.punktam, galvenie līguma ietvaros veicamie darbi ietver sevī: segumu demontāžu, betona apmaļu izbūvi, asfaltbetona segumu frēzēšanu, asfaltbetona segumu izbūvi, betona bruģa segumu izbūvi, komunikāciju aku vāku pārbūvi, satiksmes organizāciju, inženierkomunikāciju aizsargpasākumus, apzaļumošanas darbi. Savukārt, atbilstoši konkursa nolikuma 3.9.punktam, pretendentam tiek izvirzīta tikai šāda kvalifikācijas prasība - iepriekšējo 5 (piecu) gadu laikā ir pieredze vismaz 1 (viena) līdzīga līguma savlaicīgā un kvalitatīvā izpildē, turklāt, kā norādīts tālāk nolikumā, par līdzīgu līgumu komisija atzīs būvdarbu līgumu, kura ietvaros veikta asfaltbetona seguma virskārtas izbūve vismaz 5’000 m</w:t>
            </w:r>
            <w:r w:rsidRPr="0042734D">
              <w:rPr>
                <w:rFonts w:ascii="Arial" w:hAnsi="Arial" w:cs="Arial"/>
                <w:sz w:val="20"/>
                <w:szCs w:val="20"/>
                <w:vertAlign w:val="superscript"/>
              </w:rPr>
              <w:t xml:space="preserve">2 </w:t>
            </w:r>
            <w:r w:rsidRPr="0042734D">
              <w:rPr>
                <w:rFonts w:ascii="Arial" w:hAnsi="Arial" w:cs="Arial"/>
                <w:sz w:val="20"/>
                <w:szCs w:val="20"/>
              </w:rPr>
              <w:t>apmērā. Analoģiska prasība izvirzīta arī pretendenta atbildīgajam būvdarbu vadītājam.</w:t>
            </w:r>
          </w:p>
          <w:p w14:paraId="4EE21525" w14:textId="5306F6CA" w:rsidR="00980AD2" w:rsidRPr="0042734D" w:rsidRDefault="00980AD2" w:rsidP="00980AD2">
            <w:pPr>
              <w:jc w:val="both"/>
              <w:rPr>
                <w:rFonts w:ascii="Arial" w:hAnsi="Arial" w:cs="Arial"/>
                <w:sz w:val="20"/>
                <w:szCs w:val="20"/>
              </w:rPr>
            </w:pPr>
            <w:r w:rsidRPr="0042734D">
              <w:rPr>
                <w:rFonts w:ascii="Arial" w:hAnsi="Arial" w:cs="Arial"/>
                <w:sz w:val="20"/>
                <w:szCs w:val="20"/>
              </w:rPr>
              <w:t xml:space="preserve">Nolikuma prasība gan pretendenta, gan pretendenta atbildīgā būvdarbu vadītāja    kvalifikācijai ir nesamērīgi zema attiecībā pret veicamo darbu loku, jo būtībā kvalifikācija tiek prasīta tikai vienā no deviņiem nolikuma 2.2.punktā norādītajiem darbu veidiem. Asfaltbetona frēzēšana, inženierkomunikāciju </w:t>
            </w:r>
            <w:proofErr w:type="spellStart"/>
            <w:r w:rsidRPr="0042734D">
              <w:rPr>
                <w:rFonts w:ascii="Arial" w:hAnsi="Arial" w:cs="Arial"/>
                <w:sz w:val="20"/>
                <w:szCs w:val="20"/>
              </w:rPr>
              <w:t>aizsargelementu</w:t>
            </w:r>
            <w:proofErr w:type="spellEnd"/>
            <w:r w:rsidRPr="0042734D">
              <w:rPr>
                <w:rFonts w:ascii="Arial" w:hAnsi="Arial" w:cs="Arial"/>
                <w:sz w:val="20"/>
                <w:szCs w:val="20"/>
              </w:rPr>
              <w:t xml:space="preserve"> izbūve, bruģa seguma izbūve un satiksmes organizācija katrs ir atšķirīgs darba veids, kas prasa atšķirīgas tehnoloģijas un atšķirīgu darbaspēka kvalifikāciju. Tādējādi, lai gūtu pārliecību par pretendenta spēju veikt konkrētos darbus, konkursa komisijai būtu jāpārliecinās par pretendenta pieredzi visos konkursa nolikuma 2.2.punktā norādīto veicamo darbu veidos un attiecīgas prasības jāiekļauj nolikumā. </w:t>
            </w:r>
          </w:p>
          <w:p w14:paraId="544CD7E5" w14:textId="77777777" w:rsidR="00980AD2" w:rsidRPr="0042734D" w:rsidRDefault="00980AD2" w:rsidP="006A6D36">
            <w:pPr>
              <w:jc w:val="both"/>
              <w:rPr>
                <w:rFonts w:ascii="Arial" w:hAnsi="Arial" w:cs="Arial"/>
                <w:sz w:val="20"/>
                <w:szCs w:val="20"/>
              </w:rPr>
            </w:pPr>
            <w:r w:rsidRPr="0042734D">
              <w:rPr>
                <w:rFonts w:ascii="Arial" w:hAnsi="Arial" w:cs="Arial"/>
                <w:sz w:val="20"/>
                <w:szCs w:val="20"/>
              </w:rPr>
              <w:t>Turklāt, nolikumā nav izvirzītas nekādas prasības attiecībā uz pretendenta pieredzi nolikumā minēto darbu veikšanai pilsētvidē. Ir vispārzināms fakts, ka satiksmes organizācijas īpatnības un satiksmes intensitāte pilsētās un ārpus tām atšķiras, jo pilsētvidē satiksme ir intensīvāka un daudzveidīgāka, un tādējādi vienādu būvdarbu veikšana pilsētā ir sarežģītāka nekā ārpus tās. Tādējādi ir pamatoti noteikt, ka pretendentam ir nepieciešama konkursa nolikumā minēto darbu veikšanai tieši pilsētas teritorijā.</w:t>
            </w:r>
          </w:p>
          <w:p w14:paraId="2F16E9C1" w14:textId="0B26385C" w:rsidR="006A6D36" w:rsidRPr="0042734D" w:rsidRDefault="006A6D36" w:rsidP="006A6D36">
            <w:pPr>
              <w:jc w:val="both"/>
              <w:rPr>
                <w:rFonts w:ascii="Arial" w:hAnsi="Arial" w:cs="Arial"/>
                <w:sz w:val="20"/>
                <w:szCs w:val="20"/>
              </w:rPr>
            </w:pPr>
          </w:p>
        </w:tc>
      </w:tr>
      <w:tr w:rsidR="0042734D" w:rsidRPr="0042734D" w14:paraId="00C773A9" w14:textId="77777777" w:rsidTr="00E63957">
        <w:tc>
          <w:tcPr>
            <w:tcW w:w="1809" w:type="dxa"/>
          </w:tcPr>
          <w:p w14:paraId="2D16982C" w14:textId="41AA1DE9" w:rsidR="00B4657F" w:rsidRPr="0042734D" w:rsidRDefault="00B4657F" w:rsidP="00032669">
            <w:pPr>
              <w:spacing w:before="80" w:after="80"/>
              <w:rPr>
                <w:rFonts w:ascii="Arial" w:hAnsi="Arial" w:cs="Arial"/>
                <w:b/>
                <w:bCs/>
                <w:sz w:val="20"/>
                <w:szCs w:val="20"/>
                <w:lang w:eastAsia="en-US"/>
              </w:rPr>
            </w:pPr>
            <w:bookmarkStart w:id="4" w:name="_Hlk503429744"/>
            <w:r w:rsidRPr="0042734D">
              <w:rPr>
                <w:rFonts w:ascii="Arial" w:hAnsi="Arial" w:cs="Arial"/>
                <w:b/>
                <w:bCs/>
                <w:sz w:val="20"/>
                <w:szCs w:val="20"/>
                <w:lang w:eastAsia="en-US"/>
              </w:rPr>
              <w:t>Skaidrojums</w:t>
            </w:r>
          </w:p>
        </w:tc>
        <w:tc>
          <w:tcPr>
            <w:tcW w:w="8114" w:type="dxa"/>
          </w:tcPr>
          <w:p w14:paraId="7367A614" w14:textId="77777777" w:rsidR="00CD5991" w:rsidRPr="0042734D" w:rsidRDefault="00CD5991" w:rsidP="006A6D36">
            <w:pPr>
              <w:spacing w:before="20" w:after="20"/>
              <w:jc w:val="both"/>
              <w:rPr>
                <w:rFonts w:ascii="Arial" w:hAnsi="Arial" w:cs="Arial"/>
                <w:sz w:val="20"/>
                <w:szCs w:val="20"/>
                <w:lang w:eastAsia="en-US"/>
              </w:rPr>
            </w:pPr>
            <w:r w:rsidRPr="0042734D">
              <w:rPr>
                <w:rFonts w:ascii="Arial" w:hAnsi="Arial" w:cs="Arial"/>
                <w:sz w:val="20"/>
                <w:szCs w:val="20"/>
                <w:lang w:eastAsia="en-US"/>
              </w:rPr>
              <w:t xml:space="preserve">Plānotā līguma pamatdarbs ir veikt asfaltbetona seguma ielu brauktuvju posmu atjaunošanu t.i. sasniedzamais rezultāts ir atjaunots asfaltbetona segums konkrētos ielu posmos. Konkursa nolikuma 2.2.punktā norādītie darbi ir saistīti ar plānotā rezultāta sasniegšanu, bet pasūtītāja ieskatā nav specifiski ne pēc darba izpildes tehnoloģijas ne plānotā apjoma, lai izvirzītu iepriekšējas pieredzes prasības to realizēšanai. </w:t>
            </w:r>
          </w:p>
          <w:p w14:paraId="1A210B9E" w14:textId="48BC1B14" w:rsidR="006A6D36" w:rsidRPr="0042734D" w:rsidRDefault="006A6D36" w:rsidP="006A6D36">
            <w:pPr>
              <w:spacing w:before="20" w:after="20"/>
              <w:jc w:val="both"/>
              <w:rPr>
                <w:rFonts w:ascii="Arial" w:hAnsi="Arial" w:cs="Arial"/>
                <w:sz w:val="20"/>
                <w:szCs w:val="20"/>
                <w:lang w:eastAsia="en-US"/>
              </w:rPr>
            </w:pPr>
          </w:p>
        </w:tc>
      </w:tr>
      <w:tr w:rsidR="0042734D" w:rsidRPr="0042734D" w14:paraId="44E466E3" w14:textId="77777777" w:rsidTr="00E63957">
        <w:tc>
          <w:tcPr>
            <w:tcW w:w="9923" w:type="dxa"/>
            <w:gridSpan w:val="2"/>
            <w:shd w:val="clear" w:color="auto" w:fill="CCFFCC"/>
          </w:tcPr>
          <w:p w14:paraId="7EACC3E7" w14:textId="77777777" w:rsidR="00B4657F" w:rsidRPr="0042734D" w:rsidRDefault="00B4657F" w:rsidP="00032669">
            <w:pPr>
              <w:tabs>
                <w:tab w:val="left" w:pos="2552"/>
              </w:tabs>
              <w:suppressAutoHyphens/>
              <w:autoSpaceDE w:val="0"/>
              <w:jc w:val="both"/>
              <w:rPr>
                <w:rFonts w:ascii="Arial" w:hAnsi="Arial" w:cs="Arial"/>
                <w:b/>
                <w:bCs/>
                <w:sz w:val="12"/>
                <w:szCs w:val="12"/>
                <w:lang w:eastAsia="ar-SA"/>
              </w:rPr>
            </w:pPr>
          </w:p>
        </w:tc>
      </w:tr>
      <w:tr w:rsidR="0042734D" w:rsidRPr="0042734D" w14:paraId="658C06B7" w14:textId="77777777" w:rsidTr="00415917">
        <w:tc>
          <w:tcPr>
            <w:tcW w:w="1809" w:type="dxa"/>
          </w:tcPr>
          <w:p w14:paraId="53ED7A67" w14:textId="034A4C31" w:rsidR="00980AD2" w:rsidRPr="0042734D" w:rsidRDefault="00886EDC" w:rsidP="00415917">
            <w:pPr>
              <w:spacing w:before="80" w:after="80"/>
              <w:rPr>
                <w:rFonts w:ascii="Arial" w:hAnsi="Arial" w:cs="Arial"/>
                <w:b/>
                <w:bCs/>
                <w:sz w:val="20"/>
                <w:szCs w:val="20"/>
                <w:lang w:eastAsia="en-US"/>
              </w:rPr>
            </w:pPr>
            <w:r w:rsidRPr="0042734D">
              <w:rPr>
                <w:rFonts w:ascii="Arial" w:hAnsi="Arial" w:cs="Arial"/>
                <w:b/>
                <w:bCs/>
                <w:sz w:val="20"/>
                <w:szCs w:val="20"/>
                <w:lang w:eastAsia="en-US"/>
              </w:rPr>
              <w:t>2.</w:t>
            </w:r>
            <w:r w:rsidR="00980AD2" w:rsidRPr="0042734D">
              <w:rPr>
                <w:rFonts w:ascii="Arial" w:hAnsi="Arial" w:cs="Arial"/>
                <w:b/>
                <w:bCs/>
                <w:sz w:val="20"/>
                <w:szCs w:val="20"/>
                <w:lang w:eastAsia="en-US"/>
              </w:rPr>
              <w:t>Jautājums</w:t>
            </w:r>
          </w:p>
        </w:tc>
        <w:tc>
          <w:tcPr>
            <w:tcW w:w="8114" w:type="dxa"/>
          </w:tcPr>
          <w:p w14:paraId="10CAEA54" w14:textId="77777777" w:rsidR="00980AD2" w:rsidRPr="0042734D" w:rsidRDefault="00980AD2" w:rsidP="00980AD2">
            <w:pPr>
              <w:spacing w:before="20" w:after="20"/>
              <w:jc w:val="both"/>
              <w:rPr>
                <w:rFonts w:ascii="Arial" w:hAnsi="Arial" w:cs="Arial"/>
                <w:sz w:val="20"/>
                <w:szCs w:val="20"/>
              </w:rPr>
            </w:pPr>
            <w:r w:rsidRPr="0042734D">
              <w:rPr>
                <w:rFonts w:ascii="Arial" w:hAnsi="Arial" w:cs="Arial"/>
                <w:sz w:val="20"/>
                <w:szCs w:val="20"/>
              </w:rPr>
              <w:t xml:space="preserve">Kritiski ir vērtējamas nolikumā norādītā zemās prasības attiecībā uz pretendenta pieredzi līdzīgu būvobjektu būvniecībā. Jau konkursa nolikuma 3.9. un 3.10.punktos norādīta kvalifikācija attiecībā uz veiktā darba daudzumu ir salīdzinoši neliela. Ja šādos apstākļos netiek izvirzītas adekvātas prasības attiecībā uz pieredzi vairākos būvobjektos, pasūtītājs riskē, ka konkursa rezultātā tiks izvēlēts būvdarbu veicējs, kam ir minimāla reālā pieredze analoģisku darbu veikšanā. Vēršam uzmanību, ka arī citu iepirkuma veicēju prakse </w:t>
            </w:r>
            <w:r w:rsidRPr="0042734D">
              <w:rPr>
                <w:rFonts w:ascii="Arial" w:hAnsi="Arial" w:cs="Arial"/>
                <w:sz w:val="20"/>
                <w:szCs w:val="20"/>
              </w:rPr>
              <w:lastRenderedPageBreak/>
              <w:t>analoģiskiem ceļu būvdarbiem norāda uz to, ka pieredzes pierādīšanai tiek izmantoti vismaz divi sekmīgi pabeigti būvobjekti.</w:t>
            </w:r>
          </w:p>
          <w:p w14:paraId="587D9A0F" w14:textId="3BE30F33" w:rsidR="00987F37" w:rsidRPr="0042734D" w:rsidRDefault="00987F37" w:rsidP="00980AD2">
            <w:pPr>
              <w:spacing w:before="20" w:after="20"/>
              <w:jc w:val="both"/>
              <w:rPr>
                <w:rFonts w:ascii="Arial" w:hAnsi="Arial" w:cs="Arial"/>
                <w:sz w:val="20"/>
                <w:szCs w:val="20"/>
              </w:rPr>
            </w:pPr>
          </w:p>
        </w:tc>
      </w:tr>
      <w:bookmarkEnd w:id="0"/>
      <w:bookmarkEnd w:id="1"/>
      <w:bookmarkEnd w:id="2"/>
      <w:bookmarkEnd w:id="4"/>
      <w:bookmarkEnd w:id="3"/>
      <w:tr w:rsidR="0042734D" w:rsidRPr="0042734D" w14:paraId="1AC4A656" w14:textId="77777777" w:rsidTr="00415917">
        <w:tc>
          <w:tcPr>
            <w:tcW w:w="1809" w:type="dxa"/>
          </w:tcPr>
          <w:p w14:paraId="5F050731" w14:textId="77777777" w:rsidR="00980AD2" w:rsidRPr="0042734D" w:rsidRDefault="00980AD2" w:rsidP="00415917">
            <w:pPr>
              <w:spacing w:before="80" w:after="80"/>
              <w:rPr>
                <w:rFonts w:ascii="Arial" w:hAnsi="Arial" w:cs="Arial"/>
                <w:b/>
                <w:bCs/>
                <w:sz w:val="20"/>
                <w:szCs w:val="20"/>
                <w:lang w:eastAsia="en-US"/>
              </w:rPr>
            </w:pPr>
            <w:r w:rsidRPr="0042734D">
              <w:rPr>
                <w:rFonts w:ascii="Arial" w:hAnsi="Arial" w:cs="Arial"/>
                <w:b/>
                <w:bCs/>
                <w:sz w:val="20"/>
                <w:szCs w:val="20"/>
                <w:lang w:eastAsia="en-US"/>
              </w:rPr>
              <w:lastRenderedPageBreak/>
              <w:t>Skaidrojums</w:t>
            </w:r>
          </w:p>
        </w:tc>
        <w:tc>
          <w:tcPr>
            <w:tcW w:w="8114" w:type="dxa"/>
          </w:tcPr>
          <w:p w14:paraId="66D58DF2" w14:textId="77777777" w:rsidR="00980AD2" w:rsidRPr="0042734D" w:rsidRDefault="00987F37" w:rsidP="006A6D36">
            <w:pPr>
              <w:jc w:val="both"/>
              <w:rPr>
                <w:rFonts w:ascii="Arial" w:hAnsi="Arial" w:cs="Arial"/>
                <w:sz w:val="20"/>
                <w:szCs w:val="20"/>
              </w:rPr>
            </w:pPr>
            <w:r w:rsidRPr="0042734D">
              <w:rPr>
                <w:rFonts w:ascii="Arial" w:hAnsi="Arial" w:cs="Arial"/>
                <w:sz w:val="20"/>
                <w:szCs w:val="20"/>
              </w:rPr>
              <w:t>Pasūtītājs ir izvērtējis iespējamos riskus attiecībā uz iespējamā pretendenta izvēli. Prasības attiecībā uz darbu veikšanu t.sk. kvalitāti un termiņiem ir definētas konkursa nolikumā un līgumā un to neizpildes gadījumā paredzētas noteiktas sankcijas.</w:t>
            </w:r>
          </w:p>
          <w:p w14:paraId="7C711F24" w14:textId="17BDC905" w:rsidR="006A6D36" w:rsidRPr="0042734D" w:rsidRDefault="006A6D36" w:rsidP="006A6D36">
            <w:pPr>
              <w:jc w:val="both"/>
              <w:rPr>
                <w:rFonts w:ascii="Arial" w:hAnsi="Arial" w:cs="Arial"/>
                <w:sz w:val="20"/>
                <w:szCs w:val="20"/>
              </w:rPr>
            </w:pPr>
          </w:p>
        </w:tc>
      </w:tr>
      <w:tr w:rsidR="0042734D" w:rsidRPr="0042734D" w14:paraId="4D0DF41E" w14:textId="77777777" w:rsidTr="00415917">
        <w:tc>
          <w:tcPr>
            <w:tcW w:w="9923" w:type="dxa"/>
            <w:gridSpan w:val="2"/>
            <w:shd w:val="clear" w:color="auto" w:fill="CCFFCC"/>
          </w:tcPr>
          <w:p w14:paraId="052DE745" w14:textId="77777777" w:rsidR="00980AD2" w:rsidRPr="0042734D" w:rsidRDefault="00980AD2" w:rsidP="00415917">
            <w:pPr>
              <w:tabs>
                <w:tab w:val="left" w:pos="2552"/>
              </w:tabs>
              <w:suppressAutoHyphens/>
              <w:autoSpaceDE w:val="0"/>
              <w:jc w:val="both"/>
              <w:rPr>
                <w:rFonts w:ascii="Arial" w:hAnsi="Arial" w:cs="Arial"/>
                <w:b/>
                <w:bCs/>
                <w:sz w:val="12"/>
                <w:szCs w:val="12"/>
                <w:lang w:eastAsia="ar-SA"/>
              </w:rPr>
            </w:pPr>
          </w:p>
        </w:tc>
      </w:tr>
      <w:tr w:rsidR="0042734D" w:rsidRPr="0042734D" w14:paraId="6E3ACF38" w14:textId="77777777" w:rsidTr="00415917">
        <w:tc>
          <w:tcPr>
            <w:tcW w:w="1809" w:type="dxa"/>
          </w:tcPr>
          <w:p w14:paraId="378A27AD" w14:textId="0D22CF9A" w:rsidR="00980AD2" w:rsidRPr="0042734D" w:rsidRDefault="00886EDC" w:rsidP="00415917">
            <w:pPr>
              <w:spacing w:before="80" w:after="80"/>
              <w:rPr>
                <w:rFonts w:ascii="Arial" w:hAnsi="Arial" w:cs="Arial"/>
                <w:b/>
                <w:bCs/>
                <w:sz w:val="20"/>
                <w:szCs w:val="20"/>
                <w:lang w:eastAsia="en-US"/>
              </w:rPr>
            </w:pPr>
            <w:r w:rsidRPr="0042734D">
              <w:rPr>
                <w:rFonts w:ascii="Arial" w:hAnsi="Arial" w:cs="Arial"/>
                <w:b/>
                <w:bCs/>
                <w:sz w:val="20"/>
                <w:szCs w:val="20"/>
                <w:lang w:eastAsia="en-US"/>
              </w:rPr>
              <w:t>3.</w:t>
            </w:r>
            <w:r w:rsidR="00980AD2" w:rsidRPr="0042734D">
              <w:rPr>
                <w:rFonts w:ascii="Arial" w:hAnsi="Arial" w:cs="Arial"/>
                <w:b/>
                <w:bCs/>
                <w:sz w:val="20"/>
                <w:szCs w:val="20"/>
                <w:lang w:eastAsia="en-US"/>
              </w:rPr>
              <w:t>Jautājums</w:t>
            </w:r>
          </w:p>
        </w:tc>
        <w:tc>
          <w:tcPr>
            <w:tcW w:w="8114" w:type="dxa"/>
          </w:tcPr>
          <w:p w14:paraId="7891DFB6" w14:textId="6B0B9582" w:rsidR="00980AD2" w:rsidRPr="0042734D" w:rsidRDefault="00980AD2" w:rsidP="00980AD2">
            <w:pPr>
              <w:spacing w:before="20" w:after="20"/>
              <w:jc w:val="both"/>
              <w:rPr>
                <w:rFonts w:ascii="Arial" w:hAnsi="Arial" w:cs="Arial"/>
                <w:sz w:val="20"/>
                <w:szCs w:val="20"/>
              </w:rPr>
            </w:pPr>
            <w:r w:rsidRPr="0042734D">
              <w:rPr>
                <w:rFonts w:ascii="Arial" w:hAnsi="Arial" w:cs="Arial"/>
                <w:sz w:val="20"/>
                <w:szCs w:val="20"/>
              </w:rPr>
              <w:t>Kā nepamatoti zema vērtējama kvalifikācijas prasība par veiktu tikai asfaltbetona seguma virskārtas izbūvi 5000 m</w:t>
            </w:r>
            <w:r w:rsidRPr="0042734D">
              <w:rPr>
                <w:rFonts w:ascii="Arial" w:hAnsi="Arial" w:cs="Arial"/>
                <w:sz w:val="20"/>
                <w:szCs w:val="20"/>
                <w:vertAlign w:val="superscript"/>
              </w:rPr>
              <w:t xml:space="preserve">2 </w:t>
            </w:r>
            <w:r w:rsidRPr="0042734D">
              <w:rPr>
                <w:rFonts w:ascii="Arial" w:hAnsi="Arial" w:cs="Arial"/>
                <w:sz w:val="20"/>
                <w:szCs w:val="20"/>
              </w:rPr>
              <w:t>apjomā. Atbilstoši projektam veicamo asfaltbetona seguma virskārtas izbūves darbu apjoms ir nedaudz vairāk par 1</w:t>
            </w:r>
            <w:r w:rsidR="00987F37" w:rsidRPr="0042734D">
              <w:rPr>
                <w:rFonts w:ascii="Arial" w:hAnsi="Arial" w:cs="Arial"/>
                <w:sz w:val="20"/>
                <w:szCs w:val="20"/>
              </w:rPr>
              <w:t>4</w:t>
            </w:r>
            <w:r w:rsidRPr="0042734D">
              <w:rPr>
                <w:rFonts w:ascii="Arial" w:hAnsi="Arial" w:cs="Arial"/>
                <w:sz w:val="20"/>
                <w:szCs w:val="20"/>
              </w:rPr>
              <w:t>000 m</w:t>
            </w:r>
            <w:r w:rsidRPr="0042734D">
              <w:rPr>
                <w:rFonts w:ascii="Arial" w:hAnsi="Arial" w:cs="Arial"/>
                <w:sz w:val="20"/>
                <w:szCs w:val="20"/>
                <w:vertAlign w:val="superscript"/>
              </w:rPr>
              <w:t>2</w:t>
            </w:r>
            <w:r w:rsidRPr="0042734D">
              <w:rPr>
                <w:rFonts w:ascii="Arial" w:hAnsi="Arial" w:cs="Arial"/>
                <w:sz w:val="20"/>
                <w:szCs w:val="20"/>
              </w:rPr>
              <w:t>, taču papildus tam ir veicami arī asfaltbetona seguma apakškārtas izbūves darbi tādā pat platībā. Šādos apstākļos būtu atbilstoši pieprasīt no pretendentiem pieredzi vismaz 2 objektos, kur katrā veikta asfaltbetona seguma virskārtas izbūve 50% apmērā no projektā norādītās virskārtas izbūves darbu platības, proti, 7’000 m</w:t>
            </w:r>
            <w:r w:rsidRPr="0042734D">
              <w:rPr>
                <w:rFonts w:ascii="Arial" w:hAnsi="Arial" w:cs="Arial"/>
                <w:sz w:val="20"/>
                <w:szCs w:val="20"/>
                <w:vertAlign w:val="superscript"/>
              </w:rPr>
              <w:t xml:space="preserve">2 </w:t>
            </w:r>
            <w:r w:rsidRPr="0042734D">
              <w:rPr>
                <w:rFonts w:ascii="Arial" w:hAnsi="Arial" w:cs="Arial"/>
                <w:sz w:val="20"/>
                <w:szCs w:val="20"/>
              </w:rPr>
              <w:t>apjomā.</w:t>
            </w:r>
          </w:p>
          <w:p w14:paraId="4A20FA9A" w14:textId="4A494967" w:rsidR="00987F37" w:rsidRPr="0042734D" w:rsidRDefault="00987F37" w:rsidP="00980AD2">
            <w:pPr>
              <w:spacing w:before="20" w:after="20"/>
              <w:jc w:val="both"/>
              <w:rPr>
                <w:rFonts w:ascii="Arial" w:hAnsi="Arial" w:cs="Arial"/>
                <w:sz w:val="20"/>
                <w:szCs w:val="20"/>
              </w:rPr>
            </w:pPr>
          </w:p>
        </w:tc>
      </w:tr>
      <w:tr w:rsidR="0042734D" w:rsidRPr="0042734D" w14:paraId="2774B62B" w14:textId="77777777" w:rsidTr="00415917">
        <w:tc>
          <w:tcPr>
            <w:tcW w:w="1809" w:type="dxa"/>
          </w:tcPr>
          <w:p w14:paraId="2B5B09A0" w14:textId="77777777" w:rsidR="00980AD2" w:rsidRPr="0042734D" w:rsidRDefault="00980AD2" w:rsidP="00415917">
            <w:pPr>
              <w:spacing w:before="80" w:after="80"/>
              <w:rPr>
                <w:rFonts w:ascii="Arial" w:hAnsi="Arial" w:cs="Arial"/>
                <w:b/>
                <w:bCs/>
                <w:sz w:val="20"/>
                <w:szCs w:val="20"/>
                <w:lang w:eastAsia="en-US"/>
              </w:rPr>
            </w:pPr>
            <w:r w:rsidRPr="0042734D">
              <w:rPr>
                <w:rFonts w:ascii="Arial" w:hAnsi="Arial" w:cs="Arial"/>
                <w:b/>
                <w:bCs/>
                <w:sz w:val="20"/>
                <w:szCs w:val="20"/>
                <w:lang w:eastAsia="en-US"/>
              </w:rPr>
              <w:t>Skaidrojums</w:t>
            </w:r>
          </w:p>
        </w:tc>
        <w:tc>
          <w:tcPr>
            <w:tcW w:w="8114" w:type="dxa"/>
          </w:tcPr>
          <w:p w14:paraId="107DA373" w14:textId="77777777" w:rsidR="00987F37" w:rsidRPr="0042734D" w:rsidRDefault="00987F37" w:rsidP="006A6D36">
            <w:pPr>
              <w:spacing w:before="20" w:after="20"/>
              <w:jc w:val="both"/>
              <w:rPr>
                <w:rFonts w:ascii="Arial" w:hAnsi="Arial" w:cs="Arial"/>
                <w:sz w:val="20"/>
                <w:szCs w:val="20"/>
              </w:rPr>
            </w:pPr>
            <w:r w:rsidRPr="0042734D">
              <w:rPr>
                <w:rFonts w:ascii="Arial" w:hAnsi="Arial" w:cs="Arial"/>
                <w:sz w:val="20"/>
                <w:szCs w:val="20"/>
              </w:rPr>
              <w:t>Pasūtītāja ieskatā konkursā izvirzītā pieredzes prasība attiecībā uz asfaltbetona seguma virskārtas izbūvi 5000 m</w:t>
            </w:r>
            <w:r w:rsidRPr="0042734D">
              <w:rPr>
                <w:rFonts w:ascii="Arial" w:hAnsi="Arial" w:cs="Arial"/>
                <w:sz w:val="20"/>
                <w:szCs w:val="20"/>
                <w:vertAlign w:val="superscript"/>
              </w:rPr>
              <w:t>2</w:t>
            </w:r>
            <w:r w:rsidRPr="0042734D">
              <w:rPr>
                <w:rFonts w:ascii="Arial" w:hAnsi="Arial" w:cs="Arial"/>
                <w:sz w:val="20"/>
                <w:szCs w:val="20"/>
              </w:rPr>
              <w:t xml:space="preserve"> apjomā 1 (vienā) objektā ir pietiekama, lai pārliecinātos par pretendenta spēju veikt asfaltbetona seguma ieklāšanu atbilstoši iepirkuma priekšmeta vajadzībām. Nav būtisku tehnoloģisku atšķirību asfaltbetona seguma ieklāšanai 5000m</w:t>
            </w:r>
            <w:r w:rsidRPr="0042734D">
              <w:rPr>
                <w:rFonts w:ascii="Arial" w:hAnsi="Arial" w:cs="Arial"/>
                <w:sz w:val="20"/>
                <w:szCs w:val="20"/>
                <w:vertAlign w:val="superscript"/>
              </w:rPr>
              <w:t>2</w:t>
            </w:r>
            <w:r w:rsidRPr="0042734D">
              <w:rPr>
                <w:rFonts w:ascii="Arial" w:hAnsi="Arial" w:cs="Arial"/>
                <w:sz w:val="20"/>
                <w:szCs w:val="20"/>
              </w:rPr>
              <w:t xml:space="preserve"> vai 14000m</w:t>
            </w:r>
            <w:r w:rsidRPr="0042734D">
              <w:rPr>
                <w:rFonts w:ascii="Arial" w:hAnsi="Arial" w:cs="Arial"/>
                <w:sz w:val="20"/>
                <w:szCs w:val="20"/>
                <w:vertAlign w:val="superscript"/>
              </w:rPr>
              <w:t>2</w:t>
            </w:r>
            <w:r w:rsidRPr="0042734D">
              <w:rPr>
                <w:rFonts w:ascii="Arial" w:hAnsi="Arial" w:cs="Arial"/>
                <w:sz w:val="20"/>
                <w:szCs w:val="20"/>
              </w:rPr>
              <w:t xml:space="preserve"> apjomā. </w:t>
            </w:r>
          </w:p>
          <w:p w14:paraId="662EAB76" w14:textId="5DCCAFB5" w:rsidR="006A6D36" w:rsidRPr="0042734D" w:rsidRDefault="006A6D36" w:rsidP="006A6D36">
            <w:pPr>
              <w:spacing w:before="20" w:after="20"/>
              <w:jc w:val="both"/>
              <w:rPr>
                <w:rFonts w:ascii="Arial" w:hAnsi="Arial" w:cs="Arial"/>
                <w:sz w:val="20"/>
                <w:szCs w:val="20"/>
                <w:lang w:eastAsia="en-US"/>
              </w:rPr>
            </w:pPr>
          </w:p>
        </w:tc>
      </w:tr>
      <w:tr w:rsidR="0042734D" w:rsidRPr="0042734D" w14:paraId="3C5DAFE3" w14:textId="77777777" w:rsidTr="00415917">
        <w:tc>
          <w:tcPr>
            <w:tcW w:w="9923" w:type="dxa"/>
            <w:gridSpan w:val="2"/>
            <w:shd w:val="clear" w:color="auto" w:fill="CCFFCC"/>
          </w:tcPr>
          <w:p w14:paraId="437D6377" w14:textId="77777777" w:rsidR="00980AD2" w:rsidRPr="0042734D" w:rsidRDefault="00980AD2" w:rsidP="00415917">
            <w:pPr>
              <w:tabs>
                <w:tab w:val="left" w:pos="2552"/>
              </w:tabs>
              <w:suppressAutoHyphens/>
              <w:autoSpaceDE w:val="0"/>
              <w:jc w:val="both"/>
              <w:rPr>
                <w:rFonts w:ascii="Arial" w:hAnsi="Arial" w:cs="Arial"/>
                <w:b/>
                <w:bCs/>
                <w:sz w:val="12"/>
                <w:szCs w:val="12"/>
                <w:lang w:eastAsia="ar-SA"/>
              </w:rPr>
            </w:pPr>
          </w:p>
        </w:tc>
      </w:tr>
      <w:tr w:rsidR="0042734D" w:rsidRPr="0042734D" w14:paraId="347F0BCF" w14:textId="77777777" w:rsidTr="00415917">
        <w:tc>
          <w:tcPr>
            <w:tcW w:w="1809" w:type="dxa"/>
          </w:tcPr>
          <w:p w14:paraId="093B8C4D" w14:textId="3BB3C890" w:rsidR="00980AD2" w:rsidRPr="0042734D" w:rsidRDefault="00886EDC" w:rsidP="00415917">
            <w:pPr>
              <w:spacing w:before="80" w:after="80"/>
              <w:rPr>
                <w:rFonts w:ascii="Arial" w:hAnsi="Arial" w:cs="Arial"/>
                <w:b/>
                <w:bCs/>
                <w:sz w:val="20"/>
                <w:szCs w:val="20"/>
                <w:lang w:eastAsia="en-US"/>
              </w:rPr>
            </w:pPr>
            <w:r w:rsidRPr="0042734D">
              <w:rPr>
                <w:rFonts w:ascii="Arial" w:hAnsi="Arial" w:cs="Arial"/>
                <w:b/>
                <w:bCs/>
                <w:sz w:val="20"/>
                <w:szCs w:val="20"/>
                <w:lang w:eastAsia="en-US"/>
              </w:rPr>
              <w:t>4.</w:t>
            </w:r>
            <w:r w:rsidR="00980AD2" w:rsidRPr="0042734D">
              <w:rPr>
                <w:rFonts w:ascii="Arial" w:hAnsi="Arial" w:cs="Arial"/>
                <w:b/>
                <w:bCs/>
                <w:sz w:val="20"/>
                <w:szCs w:val="20"/>
                <w:lang w:eastAsia="en-US"/>
              </w:rPr>
              <w:t>Jautājums</w:t>
            </w:r>
          </w:p>
        </w:tc>
        <w:tc>
          <w:tcPr>
            <w:tcW w:w="8114" w:type="dxa"/>
          </w:tcPr>
          <w:p w14:paraId="65AF5FEE" w14:textId="77777777" w:rsidR="00980AD2" w:rsidRPr="0042734D" w:rsidRDefault="00980AD2" w:rsidP="00980AD2">
            <w:pPr>
              <w:spacing w:before="20" w:after="20"/>
              <w:jc w:val="both"/>
              <w:rPr>
                <w:rFonts w:ascii="Arial" w:hAnsi="Arial" w:cs="Arial"/>
                <w:sz w:val="20"/>
                <w:szCs w:val="20"/>
              </w:rPr>
            </w:pPr>
            <w:r w:rsidRPr="0042734D">
              <w:rPr>
                <w:rFonts w:ascii="Arial" w:hAnsi="Arial" w:cs="Arial"/>
                <w:sz w:val="20"/>
                <w:szCs w:val="20"/>
              </w:rPr>
              <w:t xml:space="preserve">Ievērojot, ka darbu izpildes termiņš ir relatīvi īss, bet asfaltēšanas darbi paredzēti astoņās dažādās vietās pilsētā, būtu saprātīgi paredzēt, ka pretendenta rīcībā jābūt vismaz diviem asfalta ieklājējiem. Konkursā minēto būvdarbu veikšana prasa noteiktu darbu veikšanas secību, proti, vispirms veikt frēzēšanu, tad izbūvēt inženierkomunikāciju </w:t>
            </w:r>
            <w:proofErr w:type="spellStart"/>
            <w:r w:rsidRPr="0042734D">
              <w:rPr>
                <w:rFonts w:ascii="Arial" w:hAnsi="Arial" w:cs="Arial"/>
                <w:sz w:val="20"/>
                <w:szCs w:val="20"/>
              </w:rPr>
              <w:t>aizsargelementus</w:t>
            </w:r>
            <w:proofErr w:type="spellEnd"/>
            <w:r w:rsidRPr="0042734D">
              <w:rPr>
                <w:rFonts w:ascii="Arial" w:hAnsi="Arial" w:cs="Arial"/>
                <w:sz w:val="20"/>
                <w:szCs w:val="20"/>
              </w:rPr>
              <w:t>, ieklāt segumu un veikt apzaļumošanas darbus. Tādējādi katrs no minētajiem darbiem noteiktā posmā veicams ļoti intensīvi. Minēto iespējams veikt tikai esot atbilstošam materiāltehniskajam nodrošinājumam. Pretējā gadījumā, ievērojot arī relatīvi īso darbu veikšanai atvēlēto termiņu, pastāv liela iespēja, ka darbu pabeigšanas termiņš tiks kavēts.</w:t>
            </w:r>
          </w:p>
          <w:p w14:paraId="4C820ECF" w14:textId="7EC1A3A1" w:rsidR="000A2029" w:rsidRPr="0042734D" w:rsidRDefault="000A2029" w:rsidP="00980AD2">
            <w:pPr>
              <w:spacing w:before="20" w:after="20"/>
              <w:jc w:val="both"/>
              <w:rPr>
                <w:rFonts w:ascii="Arial" w:hAnsi="Arial" w:cs="Arial"/>
                <w:sz w:val="20"/>
                <w:szCs w:val="20"/>
              </w:rPr>
            </w:pPr>
          </w:p>
        </w:tc>
      </w:tr>
      <w:tr w:rsidR="0042734D" w:rsidRPr="0042734D" w14:paraId="762856BB" w14:textId="77777777" w:rsidTr="00415917">
        <w:tc>
          <w:tcPr>
            <w:tcW w:w="1809" w:type="dxa"/>
          </w:tcPr>
          <w:p w14:paraId="71316144" w14:textId="77777777" w:rsidR="00980AD2" w:rsidRPr="0042734D" w:rsidRDefault="00980AD2" w:rsidP="00415917">
            <w:pPr>
              <w:spacing w:before="80" w:after="80"/>
              <w:rPr>
                <w:rFonts w:ascii="Arial" w:hAnsi="Arial" w:cs="Arial"/>
                <w:b/>
                <w:bCs/>
                <w:sz w:val="20"/>
                <w:szCs w:val="20"/>
                <w:lang w:eastAsia="en-US"/>
              </w:rPr>
            </w:pPr>
            <w:r w:rsidRPr="0042734D">
              <w:rPr>
                <w:rFonts w:ascii="Arial" w:hAnsi="Arial" w:cs="Arial"/>
                <w:b/>
                <w:bCs/>
                <w:sz w:val="20"/>
                <w:szCs w:val="20"/>
                <w:lang w:eastAsia="en-US"/>
              </w:rPr>
              <w:t>Skaidrojums</w:t>
            </w:r>
          </w:p>
        </w:tc>
        <w:tc>
          <w:tcPr>
            <w:tcW w:w="8114" w:type="dxa"/>
          </w:tcPr>
          <w:p w14:paraId="40D0EE34" w14:textId="140024D3" w:rsidR="000A2029" w:rsidRPr="0042734D" w:rsidRDefault="000A2029" w:rsidP="000A2029">
            <w:pPr>
              <w:jc w:val="both"/>
              <w:rPr>
                <w:rFonts w:ascii="Arial" w:hAnsi="Arial" w:cs="Arial"/>
                <w:sz w:val="20"/>
                <w:szCs w:val="20"/>
              </w:rPr>
            </w:pPr>
            <w:r w:rsidRPr="0042734D">
              <w:rPr>
                <w:rFonts w:ascii="Arial" w:hAnsi="Arial" w:cs="Arial"/>
                <w:sz w:val="20"/>
                <w:szCs w:val="20"/>
              </w:rPr>
              <w:t xml:space="preserve">Iesniedzot piedāvājumu un, parakstot līgumu, jebkuram pretendentam jāapliecina savas spējas paveikt noteikto darbu līgumā noteiktajā apjomā un termiņos. Ņemot vērā, ka darbu veikšanas tehnoloģiju, darbu plānošanas t.sk. darba veikšanai nepieciešamo materiāltehnisko daudzumu plāno darbu veicējs, Pasūtītājs neuzskata par nepieciešamu konkursa ietvaros izvirzīt prasības uz konkrētu kādas specifiskas tehnikas vienības daudzumu. </w:t>
            </w:r>
          </w:p>
          <w:p w14:paraId="16A29484" w14:textId="1A828BEC" w:rsidR="00B17635" w:rsidRPr="0042734D" w:rsidRDefault="00B17635" w:rsidP="006A6D36">
            <w:pPr>
              <w:jc w:val="both"/>
              <w:rPr>
                <w:rFonts w:ascii="Arial" w:hAnsi="Arial" w:cs="Arial"/>
                <w:sz w:val="20"/>
                <w:szCs w:val="20"/>
                <w:lang w:eastAsia="en-US"/>
              </w:rPr>
            </w:pPr>
          </w:p>
        </w:tc>
      </w:tr>
      <w:tr w:rsidR="0042734D" w:rsidRPr="0042734D" w14:paraId="42DF3450" w14:textId="77777777" w:rsidTr="00415917">
        <w:tc>
          <w:tcPr>
            <w:tcW w:w="9923" w:type="dxa"/>
            <w:gridSpan w:val="2"/>
            <w:shd w:val="clear" w:color="auto" w:fill="CCFFCC"/>
          </w:tcPr>
          <w:p w14:paraId="0494286B" w14:textId="77777777" w:rsidR="00980AD2" w:rsidRPr="0042734D" w:rsidRDefault="00980AD2" w:rsidP="00415917">
            <w:pPr>
              <w:tabs>
                <w:tab w:val="left" w:pos="2552"/>
              </w:tabs>
              <w:suppressAutoHyphens/>
              <w:autoSpaceDE w:val="0"/>
              <w:jc w:val="both"/>
              <w:rPr>
                <w:rFonts w:ascii="Arial" w:hAnsi="Arial" w:cs="Arial"/>
                <w:b/>
                <w:bCs/>
                <w:sz w:val="12"/>
                <w:szCs w:val="12"/>
                <w:lang w:eastAsia="ar-SA"/>
              </w:rPr>
            </w:pPr>
          </w:p>
        </w:tc>
      </w:tr>
      <w:tr w:rsidR="0042734D" w:rsidRPr="0042734D" w14:paraId="778A81C4" w14:textId="77777777" w:rsidTr="00415917">
        <w:tc>
          <w:tcPr>
            <w:tcW w:w="1809" w:type="dxa"/>
          </w:tcPr>
          <w:p w14:paraId="6C3120B3" w14:textId="623D8FEE" w:rsidR="00980AD2" w:rsidRPr="0042734D" w:rsidRDefault="00886EDC" w:rsidP="00415917">
            <w:pPr>
              <w:spacing w:before="80" w:after="80"/>
              <w:rPr>
                <w:rFonts w:ascii="Arial" w:hAnsi="Arial" w:cs="Arial"/>
                <w:b/>
                <w:bCs/>
                <w:sz w:val="20"/>
                <w:szCs w:val="20"/>
                <w:lang w:eastAsia="en-US"/>
              </w:rPr>
            </w:pPr>
            <w:r w:rsidRPr="0042734D">
              <w:rPr>
                <w:rFonts w:ascii="Arial" w:hAnsi="Arial" w:cs="Arial"/>
                <w:b/>
                <w:bCs/>
                <w:sz w:val="20"/>
                <w:szCs w:val="20"/>
                <w:lang w:eastAsia="en-US"/>
              </w:rPr>
              <w:t>5.</w:t>
            </w:r>
            <w:r w:rsidR="00980AD2" w:rsidRPr="0042734D">
              <w:rPr>
                <w:rFonts w:ascii="Arial" w:hAnsi="Arial" w:cs="Arial"/>
                <w:b/>
                <w:bCs/>
                <w:sz w:val="20"/>
                <w:szCs w:val="20"/>
                <w:lang w:eastAsia="en-US"/>
              </w:rPr>
              <w:t>Jautājums</w:t>
            </w:r>
          </w:p>
        </w:tc>
        <w:tc>
          <w:tcPr>
            <w:tcW w:w="8114" w:type="dxa"/>
          </w:tcPr>
          <w:p w14:paraId="35FE2536" w14:textId="77777777" w:rsidR="00980AD2" w:rsidRPr="0042734D" w:rsidRDefault="00980AD2" w:rsidP="00980AD2">
            <w:pPr>
              <w:spacing w:before="20" w:after="20"/>
              <w:jc w:val="both"/>
              <w:rPr>
                <w:rFonts w:ascii="Arial" w:hAnsi="Arial" w:cs="Arial"/>
                <w:sz w:val="20"/>
                <w:szCs w:val="20"/>
              </w:rPr>
            </w:pPr>
            <w:r w:rsidRPr="0042734D">
              <w:rPr>
                <w:rFonts w:ascii="Arial" w:hAnsi="Arial" w:cs="Arial"/>
                <w:sz w:val="20"/>
                <w:szCs w:val="20"/>
              </w:rPr>
              <w:t>Līguma ietvaros veicamo darbu izmaksas ir vairāki simti tūkstoši eiro. Lai gan līguma projektā ir paredzēta iespēja saņemt avansu, tomēr, ņemot vērā darbu izpildes un apmaksas termiņu, ir skaidrs, ka pretendentam būs jāspēj daļēji finansēt būvdarbu veikšana no saviem līdzekļiem vairākus mēnešus līdz samaksas saņemšanai no pasūtītāja. Lai to izdarītu, ir būtiski, ka pretendenta rīcībā ir pietiekami finanšu resursi. Ievērojot minēto, ir pamatoti nolikumā izvirzīt prasības arī pretendenta finanšu stāvoklim, proti, spējai segt īstermiņa saistības vai kā alternatīvu izmantot prasību atbilst 1. vai 2. būvniecības klasifikācijas klasei. Tādējādi pasūtītājs var izvairīties no situācijas, kad būvdarbus veic finansiāli nestabils būvnieks, kurš naudas plūsmas grūtību ietekmē varētu nespēt norēķināties ar saviem piegādātājiem un darbiniekiem.</w:t>
            </w:r>
          </w:p>
          <w:p w14:paraId="33C0690A" w14:textId="0EF70817" w:rsidR="00B17635" w:rsidRPr="0042734D" w:rsidRDefault="00B17635" w:rsidP="00980AD2">
            <w:pPr>
              <w:spacing w:before="20" w:after="20"/>
              <w:jc w:val="both"/>
              <w:rPr>
                <w:rFonts w:ascii="Arial" w:hAnsi="Arial" w:cs="Arial"/>
                <w:sz w:val="20"/>
                <w:szCs w:val="20"/>
              </w:rPr>
            </w:pPr>
          </w:p>
        </w:tc>
      </w:tr>
      <w:tr w:rsidR="0042734D" w:rsidRPr="0042734D" w14:paraId="1246E165" w14:textId="77777777" w:rsidTr="00415917">
        <w:tc>
          <w:tcPr>
            <w:tcW w:w="1809" w:type="dxa"/>
          </w:tcPr>
          <w:p w14:paraId="07E6B7AF" w14:textId="77777777" w:rsidR="00980AD2" w:rsidRPr="0042734D" w:rsidRDefault="00980AD2" w:rsidP="00415917">
            <w:pPr>
              <w:spacing w:before="80" w:after="80"/>
              <w:rPr>
                <w:rFonts w:ascii="Arial" w:hAnsi="Arial" w:cs="Arial"/>
                <w:b/>
                <w:bCs/>
                <w:sz w:val="20"/>
                <w:szCs w:val="20"/>
                <w:lang w:eastAsia="en-US"/>
              </w:rPr>
            </w:pPr>
            <w:r w:rsidRPr="0042734D">
              <w:rPr>
                <w:rFonts w:ascii="Arial" w:hAnsi="Arial" w:cs="Arial"/>
                <w:b/>
                <w:bCs/>
                <w:sz w:val="20"/>
                <w:szCs w:val="20"/>
                <w:lang w:eastAsia="en-US"/>
              </w:rPr>
              <w:t>Skaidrojums</w:t>
            </w:r>
          </w:p>
        </w:tc>
        <w:tc>
          <w:tcPr>
            <w:tcW w:w="8114" w:type="dxa"/>
          </w:tcPr>
          <w:p w14:paraId="19023234" w14:textId="4A2C6FD4" w:rsidR="00B17635" w:rsidRPr="0042734D" w:rsidRDefault="00B17635" w:rsidP="006A6D36">
            <w:pPr>
              <w:spacing w:before="20" w:after="20"/>
              <w:jc w:val="both"/>
              <w:rPr>
                <w:rFonts w:ascii="Arial" w:hAnsi="Arial" w:cs="Arial"/>
                <w:sz w:val="20"/>
                <w:szCs w:val="20"/>
              </w:rPr>
            </w:pPr>
            <w:r w:rsidRPr="0042734D">
              <w:rPr>
                <w:rFonts w:ascii="Arial" w:hAnsi="Arial" w:cs="Arial"/>
                <w:sz w:val="20"/>
                <w:szCs w:val="20"/>
                <w:lang w:eastAsia="en-US"/>
              </w:rPr>
              <w:t xml:space="preserve">Pasūtītāja ieskatā pretendenta finanšu resursu izvērtēšana konkursa ietvaros nav pamatota. </w:t>
            </w:r>
            <w:r w:rsidR="007C3E7A" w:rsidRPr="0042734D">
              <w:rPr>
                <w:rFonts w:ascii="Arial" w:hAnsi="Arial" w:cs="Arial"/>
                <w:sz w:val="20"/>
                <w:szCs w:val="20"/>
                <w:lang w:eastAsia="en-US"/>
              </w:rPr>
              <w:t xml:space="preserve">Līguma izpildē būvnieka risku mazināšanai ir paredzēta gan civiltiesiskā apdrošināšana, gan </w:t>
            </w:r>
            <w:r w:rsidR="007C3E7A" w:rsidRPr="0042734D">
              <w:rPr>
                <w:rFonts w:ascii="Arial" w:hAnsi="Arial" w:cs="Arial"/>
                <w:sz w:val="20"/>
                <w:szCs w:val="20"/>
              </w:rPr>
              <w:t>būvniecības visu risku apdrošināšana. Pasūtītājs sava riska mazināšanai konkursa nolikumā un līgumprojektā ir definējis prasības attiecībā uz darbu veikšanu t.sk. kvalitāti un termiņiem un to neizpildes gadījumā paredzētas noteiktas sankcijas.</w:t>
            </w:r>
          </w:p>
          <w:p w14:paraId="53A7AE29" w14:textId="0C36F007" w:rsidR="00D04A18" w:rsidRPr="0042734D" w:rsidRDefault="00D04A18" w:rsidP="00D04A18">
            <w:pPr>
              <w:pStyle w:val="Paraststmeklis"/>
              <w:spacing w:before="0" w:beforeAutospacing="0" w:after="0" w:afterAutospacing="0"/>
              <w:jc w:val="both"/>
              <w:textAlignment w:val="baseline"/>
              <w:rPr>
                <w:rFonts w:ascii="Arial" w:hAnsi="Arial" w:cs="Arial"/>
                <w:sz w:val="20"/>
                <w:szCs w:val="20"/>
              </w:rPr>
            </w:pPr>
            <w:r w:rsidRPr="0042734D">
              <w:rPr>
                <w:rFonts w:ascii="Arial" w:hAnsi="Arial" w:cs="Arial"/>
                <w:sz w:val="20"/>
                <w:szCs w:val="20"/>
              </w:rPr>
              <w:t xml:space="preserve">Iepirkumu uzraudzības biroja tīmekļvietnē </w:t>
            </w:r>
            <w:r w:rsidRPr="0042734D">
              <w:rPr>
                <w:rFonts w:ascii="Arial" w:hAnsi="Arial" w:cs="Arial"/>
                <w:sz w:val="20"/>
                <w:szCs w:val="20"/>
              </w:rPr>
              <w:t xml:space="preserve">20.08.2019 </w:t>
            </w:r>
            <w:r w:rsidRPr="0042734D">
              <w:rPr>
                <w:rFonts w:ascii="Arial" w:hAnsi="Arial" w:cs="Arial"/>
                <w:sz w:val="20"/>
                <w:szCs w:val="20"/>
              </w:rPr>
              <w:t xml:space="preserve">ievietots šāds Ekonomikas ministrijas skaidrojums: </w:t>
            </w:r>
          </w:p>
          <w:p w14:paraId="3F72DEED" w14:textId="7501730D" w:rsidR="00D04A18" w:rsidRPr="0042734D" w:rsidRDefault="00D04A18" w:rsidP="00D04A18">
            <w:pPr>
              <w:pStyle w:val="Paraststmeklis"/>
              <w:spacing w:before="0" w:beforeAutospacing="0" w:after="0" w:afterAutospacing="0"/>
              <w:jc w:val="both"/>
              <w:textAlignment w:val="baseline"/>
              <w:rPr>
                <w:rFonts w:ascii="Arial" w:hAnsi="Arial" w:cs="Arial"/>
                <w:i/>
                <w:iCs/>
                <w:sz w:val="20"/>
                <w:szCs w:val="20"/>
              </w:rPr>
            </w:pPr>
            <w:r w:rsidRPr="0042734D">
              <w:rPr>
                <w:rFonts w:ascii="Arial" w:hAnsi="Arial" w:cs="Arial"/>
                <w:i/>
                <w:iCs/>
                <w:sz w:val="20"/>
                <w:szCs w:val="20"/>
              </w:rPr>
              <w:t xml:space="preserve">Publisko iepirkumu likuma 44.panta trešā daļa nosaka, ka publiska būvdarbu līguma gadījumā pasūtītājs pieprasa, lai piegādātājs būtu ieguvis vai līdz iepirkuma līguma </w:t>
            </w:r>
            <w:r w:rsidRPr="0042734D">
              <w:rPr>
                <w:rFonts w:ascii="Arial" w:hAnsi="Arial" w:cs="Arial"/>
                <w:i/>
                <w:iCs/>
                <w:sz w:val="20"/>
                <w:szCs w:val="20"/>
              </w:rPr>
              <w:lastRenderedPageBreak/>
              <w:t>slēgšanai iegūst normatīvajos aktos noteiktu attiecīgo būvdarbu veikšanai atbilstošu būvkomersanta kvalifikācijas klasi.</w:t>
            </w:r>
          </w:p>
          <w:p w14:paraId="6AF47C5E" w14:textId="10734FDE" w:rsidR="00D04A18" w:rsidRPr="0042734D" w:rsidRDefault="00D04A18" w:rsidP="00D04A18">
            <w:pPr>
              <w:pStyle w:val="Paraststmeklis"/>
              <w:spacing w:before="0" w:beforeAutospacing="0" w:after="0" w:afterAutospacing="0"/>
              <w:jc w:val="both"/>
              <w:textAlignment w:val="baseline"/>
              <w:rPr>
                <w:rFonts w:ascii="Arial" w:hAnsi="Arial" w:cs="Arial"/>
                <w:i/>
                <w:iCs/>
                <w:sz w:val="20"/>
                <w:szCs w:val="20"/>
              </w:rPr>
            </w:pPr>
            <w:r w:rsidRPr="0042734D">
              <w:rPr>
                <w:rFonts w:ascii="Arial" w:hAnsi="Arial" w:cs="Arial"/>
                <w:i/>
                <w:iCs/>
                <w:sz w:val="20"/>
                <w:szCs w:val="20"/>
              </w:rPr>
              <w:t>Ekonomikas ministrija skaidro, ka Būvkomersantu klasifikācijā būvkomersanti tiek novērtēti elektroniskā vidē, balstoties uz oficiālo reģistru datiem, līdz ar to būvkomersantu klasifikācija ir automātisks process ar minimālu cilvēkresursu iesaisti. Būvkomersantu klasifikācijas piemērošanas konceptuālu risinājumu izstrādes laikā aktualizējās problēma, ka nav efektīva veida kā elektroniskā vidē, izmantojot oficiālo reģistru datus, izmērīt un klasificēt būvkomersantu profesionālo pieredzi. Rezultātā, lai pasūtītājs pārliecinātos par pretendenta pieredzi attiecībā uz veiktajiem būvdarbiem, pasūtītājam ir jāizvirza papildus prasības, tādejādi būvkomersantu klasifikācijai zūd jēga, jo būvkomersantiem katrā iepirkumā tāpat jāpierāda sava profes</w:t>
            </w:r>
            <w:bookmarkStart w:id="5" w:name="_GoBack"/>
            <w:bookmarkEnd w:id="5"/>
            <w:r w:rsidRPr="0042734D">
              <w:rPr>
                <w:rFonts w:ascii="Arial" w:hAnsi="Arial" w:cs="Arial"/>
                <w:i/>
                <w:iCs/>
                <w:sz w:val="20"/>
                <w:szCs w:val="20"/>
              </w:rPr>
              <w:t>ionālā pieredze attiecībā uz veiktajiem būvdarbiem.</w:t>
            </w:r>
          </w:p>
          <w:p w14:paraId="4053FF5C" w14:textId="77777777" w:rsidR="00D04A18" w:rsidRPr="0042734D" w:rsidRDefault="00D04A18" w:rsidP="00D04A18">
            <w:pPr>
              <w:pStyle w:val="Paraststmeklis"/>
              <w:spacing w:before="0" w:beforeAutospacing="0" w:after="0" w:afterAutospacing="0"/>
              <w:jc w:val="both"/>
              <w:textAlignment w:val="baseline"/>
              <w:rPr>
                <w:rFonts w:ascii="Arial" w:hAnsi="Arial" w:cs="Arial"/>
                <w:i/>
                <w:iCs/>
                <w:sz w:val="20"/>
                <w:szCs w:val="20"/>
              </w:rPr>
            </w:pPr>
            <w:r w:rsidRPr="0042734D">
              <w:rPr>
                <w:rFonts w:ascii="Arial" w:hAnsi="Arial" w:cs="Arial"/>
                <w:i/>
                <w:iCs/>
                <w:sz w:val="20"/>
                <w:szCs w:val="20"/>
              </w:rPr>
              <w:t>Ņemot vērā iepriekš minēto, Ekonomikas ministrija ir izstrādājusi grozījumus Publisko iepirkumu likumā, Sabiedrisko pakalpojumu sniedzēju iepirkumu likumā un Publiskās un privātās partnerības likumā ar mērķi izslēgt prasības attiecībā uz būvkomersantu klasifikāciju un tās piemērošanu publisku būvdarbu līgumu gadījumā. Ar likumprojektiem iespējams iepazīties </w:t>
            </w:r>
            <w:hyperlink r:id="rId8" w:tgtFrame="_blank" w:history="1">
              <w:r w:rsidRPr="0042734D">
                <w:rPr>
                  <w:rStyle w:val="Hipersaite"/>
                  <w:rFonts w:ascii="Arial" w:hAnsi="Arial" w:cs="Arial"/>
                  <w:i/>
                  <w:iCs/>
                  <w:color w:val="auto"/>
                  <w:sz w:val="20"/>
                  <w:szCs w:val="20"/>
                </w:rPr>
                <w:t>Ekonomikas ministrijas tīmekļvietnē</w:t>
              </w:r>
            </w:hyperlink>
            <w:r w:rsidRPr="0042734D">
              <w:rPr>
                <w:rFonts w:ascii="Arial" w:hAnsi="Arial" w:cs="Arial"/>
                <w:i/>
                <w:iCs/>
                <w:sz w:val="20"/>
                <w:szCs w:val="20"/>
              </w:rPr>
              <w:t>.</w:t>
            </w:r>
          </w:p>
          <w:p w14:paraId="717844C2" w14:textId="77777777" w:rsidR="00D04A18" w:rsidRPr="0042734D" w:rsidRDefault="00D04A18" w:rsidP="00D04A18">
            <w:pPr>
              <w:pStyle w:val="Paraststmeklis"/>
              <w:spacing w:before="0" w:beforeAutospacing="0" w:after="0" w:afterAutospacing="0"/>
              <w:jc w:val="both"/>
              <w:textAlignment w:val="baseline"/>
              <w:rPr>
                <w:rFonts w:ascii="Arial" w:hAnsi="Arial" w:cs="Arial"/>
                <w:i/>
                <w:iCs/>
                <w:sz w:val="20"/>
                <w:szCs w:val="20"/>
              </w:rPr>
            </w:pPr>
            <w:r w:rsidRPr="0042734D">
              <w:rPr>
                <w:rFonts w:ascii="Arial" w:hAnsi="Arial" w:cs="Arial"/>
                <w:i/>
                <w:iCs/>
                <w:sz w:val="20"/>
                <w:szCs w:val="20"/>
              </w:rPr>
              <w:t>Ievērojot iepriekš minēto, kā arī to, ka Ekonomikas ministrija nav izstrādājusi Publisko iepirkumu likuma 44.panta trešajā daļā paredzētos noteikumus, </w:t>
            </w:r>
            <w:r w:rsidRPr="0042734D">
              <w:rPr>
                <w:rStyle w:val="Izteiksmgs"/>
                <w:rFonts w:ascii="Arial" w:hAnsi="Arial" w:cs="Arial"/>
                <w:i/>
                <w:iCs/>
                <w:sz w:val="20"/>
                <w:szCs w:val="20"/>
              </w:rPr>
              <w:t>prasība par būvkomersantu kvalifikācijas klasi iepirkumos nav izvirzāma.</w:t>
            </w:r>
          </w:p>
          <w:p w14:paraId="517F0DF2" w14:textId="2F51E7D4" w:rsidR="006A6D36" w:rsidRPr="0042734D" w:rsidRDefault="00D04A18" w:rsidP="00D04A18">
            <w:pPr>
              <w:pStyle w:val="Paraststmeklis"/>
              <w:spacing w:before="0" w:beforeAutospacing="0" w:after="0" w:afterAutospacing="0"/>
              <w:textAlignment w:val="baseline"/>
              <w:rPr>
                <w:rFonts w:ascii="Arial" w:hAnsi="Arial" w:cs="Arial"/>
                <w:sz w:val="20"/>
                <w:szCs w:val="20"/>
                <w:lang w:eastAsia="en-US"/>
              </w:rPr>
            </w:pPr>
            <w:r w:rsidRPr="0042734D">
              <w:rPr>
                <w:rFonts w:ascii="Arial" w:hAnsi="Arial" w:cs="Arial"/>
                <w:sz w:val="20"/>
                <w:szCs w:val="20"/>
              </w:rPr>
              <w:t> </w:t>
            </w:r>
          </w:p>
        </w:tc>
      </w:tr>
      <w:tr w:rsidR="0042734D" w:rsidRPr="0042734D" w14:paraId="260D63E3" w14:textId="77777777" w:rsidTr="00415917">
        <w:tc>
          <w:tcPr>
            <w:tcW w:w="9923" w:type="dxa"/>
            <w:gridSpan w:val="2"/>
            <w:shd w:val="clear" w:color="auto" w:fill="CCFFCC"/>
          </w:tcPr>
          <w:p w14:paraId="4441A96C" w14:textId="77777777" w:rsidR="00980AD2" w:rsidRPr="0042734D" w:rsidRDefault="00980AD2" w:rsidP="00415917">
            <w:pPr>
              <w:tabs>
                <w:tab w:val="left" w:pos="2552"/>
              </w:tabs>
              <w:suppressAutoHyphens/>
              <w:autoSpaceDE w:val="0"/>
              <w:jc w:val="both"/>
              <w:rPr>
                <w:rFonts w:ascii="Arial" w:hAnsi="Arial" w:cs="Arial"/>
                <w:b/>
                <w:bCs/>
                <w:sz w:val="12"/>
                <w:szCs w:val="12"/>
                <w:lang w:eastAsia="ar-SA"/>
              </w:rPr>
            </w:pPr>
          </w:p>
        </w:tc>
      </w:tr>
      <w:tr w:rsidR="0042734D" w:rsidRPr="0042734D" w14:paraId="64DE0750" w14:textId="77777777" w:rsidTr="00415917">
        <w:tc>
          <w:tcPr>
            <w:tcW w:w="1809" w:type="dxa"/>
          </w:tcPr>
          <w:p w14:paraId="598EC4A0" w14:textId="76E20380" w:rsidR="00980AD2" w:rsidRPr="0042734D" w:rsidRDefault="00886EDC" w:rsidP="00415917">
            <w:pPr>
              <w:spacing w:before="80" w:after="80"/>
              <w:rPr>
                <w:rFonts w:ascii="Arial" w:hAnsi="Arial" w:cs="Arial"/>
                <w:b/>
                <w:bCs/>
                <w:sz w:val="20"/>
                <w:szCs w:val="20"/>
                <w:lang w:eastAsia="en-US"/>
              </w:rPr>
            </w:pPr>
            <w:r w:rsidRPr="0042734D">
              <w:rPr>
                <w:rFonts w:ascii="Arial" w:hAnsi="Arial" w:cs="Arial"/>
                <w:b/>
                <w:bCs/>
                <w:sz w:val="20"/>
                <w:szCs w:val="20"/>
                <w:lang w:eastAsia="en-US"/>
              </w:rPr>
              <w:t>6.</w:t>
            </w:r>
            <w:r w:rsidR="00980AD2" w:rsidRPr="0042734D">
              <w:rPr>
                <w:rFonts w:ascii="Arial" w:hAnsi="Arial" w:cs="Arial"/>
                <w:b/>
                <w:bCs/>
                <w:sz w:val="20"/>
                <w:szCs w:val="20"/>
                <w:lang w:eastAsia="en-US"/>
              </w:rPr>
              <w:t>Jautājums</w:t>
            </w:r>
          </w:p>
        </w:tc>
        <w:tc>
          <w:tcPr>
            <w:tcW w:w="8114" w:type="dxa"/>
          </w:tcPr>
          <w:p w14:paraId="4439090E" w14:textId="50D3F11A" w:rsidR="00872DA7" w:rsidRPr="0042734D" w:rsidRDefault="00872DA7" w:rsidP="00872DA7">
            <w:pPr>
              <w:spacing w:before="20" w:after="20"/>
              <w:jc w:val="both"/>
              <w:rPr>
                <w:rFonts w:ascii="Arial" w:hAnsi="Arial" w:cs="Arial"/>
                <w:sz w:val="20"/>
                <w:szCs w:val="20"/>
              </w:rPr>
            </w:pPr>
            <w:r w:rsidRPr="0042734D">
              <w:rPr>
                <w:rFonts w:ascii="Arial" w:hAnsi="Arial" w:cs="Arial"/>
                <w:sz w:val="20"/>
                <w:szCs w:val="20"/>
              </w:rPr>
              <w:t>Atbilstoši Publiskas personas finanšu līdzekļu un mantas izšķērdēšanas novēršanas likuma 3.panta 1.punktam, publiska persona rīkojas ar finanšu līdzekļiem un mantu lietderīgi, tas ir: rīcībai jābūt tādai, lai mērķi sasniegtu ar mazāko finanšu līdzekļu un mantas izlietojumu. Ceļš ir komplicēta būve un nav šaubu, ka pasūtītājs un visa sabiedrība ir ieinteresētas, lai būve kalpotu pēc iespējas ilgāku laiku un nebūtu nepieciešams tērēt pašvaldības budžeta līdzekļus uzturēšanas ietvaros veicamajiem regulārajiem remontdarbiem. Savukārt, kvalitatīvu būvniecību iespējams nodrošināt tikai piesaistot kvalificētu personālu un materiāltehnisko nodrošinājumu. Bez tam nepamatoti zemas prasības pretendentiem, kropļo konkurenci starp būvdarbu veicējiem, jo ļauj piedalīties iepirkumā uzņēmumiem, kuri reāli nespēj savlaicīgi un kvalitatīvi izpildīt konkursā minētos būvdarbus.</w:t>
            </w:r>
          </w:p>
          <w:p w14:paraId="5B1D38D3" w14:textId="77777777" w:rsidR="00872DA7" w:rsidRPr="0042734D" w:rsidRDefault="00872DA7" w:rsidP="00872DA7">
            <w:pPr>
              <w:spacing w:before="20" w:after="20"/>
              <w:jc w:val="both"/>
              <w:rPr>
                <w:rFonts w:ascii="Arial" w:hAnsi="Arial" w:cs="Arial"/>
                <w:sz w:val="20"/>
                <w:szCs w:val="20"/>
              </w:rPr>
            </w:pPr>
            <w:r w:rsidRPr="0042734D">
              <w:rPr>
                <w:rFonts w:ascii="Arial" w:hAnsi="Arial" w:cs="Arial"/>
                <w:sz w:val="20"/>
                <w:szCs w:val="20"/>
              </w:rPr>
              <w:t>Atbilstoši 2017. gada 28. februāra MK kabineta noteikumu Nr. 107 “Iepirkuma procedūru un metu konkursu norises kārtība” 230.punktam, pasūtītājs var jebkurā brīdī pārtraukt izsludinātu iepirkuma procedūru vai metu konkursu, ja tam ir objektīvs pamatojums.</w:t>
            </w:r>
          </w:p>
          <w:p w14:paraId="0B19CF39" w14:textId="688CC92A" w:rsidR="00872DA7" w:rsidRPr="0042734D" w:rsidRDefault="00872DA7" w:rsidP="00872DA7">
            <w:pPr>
              <w:spacing w:before="20" w:after="20"/>
              <w:jc w:val="both"/>
              <w:rPr>
                <w:rFonts w:ascii="Arial" w:hAnsi="Arial" w:cs="Arial"/>
                <w:sz w:val="20"/>
                <w:szCs w:val="20"/>
              </w:rPr>
            </w:pPr>
            <w:r w:rsidRPr="0042734D">
              <w:rPr>
                <w:rFonts w:ascii="Arial" w:hAnsi="Arial" w:cs="Arial"/>
                <w:sz w:val="20"/>
                <w:szCs w:val="20"/>
              </w:rPr>
              <w:t xml:space="preserve">Ievērojot augstāk minēto, lūdzam pārtraukt atklāto konkursu ID </w:t>
            </w:r>
            <w:proofErr w:type="spellStart"/>
            <w:r w:rsidRPr="0042734D">
              <w:rPr>
                <w:rFonts w:ascii="Arial" w:hAnsi="Arial" w:cs="Arial"/>
                <w:sz w:val="20"/>
                <w:szCs w:val="20"/>
              </w:rPr>
              <w:t>Nr.LPP</w:t>
            </w:r>
            <w:proofErr w:type="spellEnd"/>
            <w:r w:rsidRPr="0042734D">
              <w:rPr>
                <w:rFonts w:ascii="Arial" w:hAnsi="Arial" w:cs="Arial"/>
                <w:sz w:val="20"/>
                <w:szCs w:val="20"/>
              </w:rPr>
              <w:t xml:space="preserve"> 2019/105 un veikt šādus precizējumus konkursa nolikuma prasībās:</w:t>
            </w:r>
          </w:p>
          <w:p w14:paraId="108C65A5" w14:textId="77777777" w:rsidR="00BD06A8" w:rsidRPr="0042734D" w:rsidRDefault="00872DA7" w:rsidP="00872DA7">
            <w:pPr>
              <w:pStyle w:val="Sarakstarindkopa"/>
              <w:numPr>
                <w:ilvl w:val="0"/>
                <w:numId w:val="20"/>
              </w:numPr>
              <w:spacing w:before="20" w:after="20"/>
              <w:jc w:val="both"/>
              <w:rPr>
                <w:rFonts w:ascii="Arial" w:hAnsi="Arial" w:cs="Arial"/>
                <w:sz w:val="20"/>
                <w:szCs w:val="20"/>
              </w:rPr>
            </w:pPr>
            <w:r w:rsidRPr="0042734D">
              <w:rPr>
                <w:rFonts w:ascii="Arial" w:hAnsi="Arial" w:cs="Arial"/>
                <w:sz w:val="20"/>
                <w:szCs w:val="20"/>
              </w:rPr>
              <w:t>Pieredze pretendentam vismaz divu līdzīgu līgumu savlaicīgā un kvalitatīvā izpildē katrā, par līdzīgu līgumu atzīstot līgumu, kura ietvaros ir veikti visi nolikuma 2.2.punktā minētie darbi, t.sk., asfaltbetona seguma virskārtas izbūve vismaz 7’000 m2 apjomā;</w:t>
            </w:r>
          </w:p>
          <w:p w14:paraId="0B456694" w14:textId="77777777" w:rsidR="00BD06A8" w:rsidRPr="0042734D" w:rsidRDefault="00872DA7" w:rsidP="00872DA7">
            <w:pPr>
              <w:pStyle w:val="Sarakstarindkopa"/>
              <w:numPr>
                <w:ilvl w:val="0"/>
                <w:numId w:val="20"/>
              </w:numPr>
              <w:spacing w:before="20" w:after="20"/>
              <w:jc w:val="both"/>
              <w:rPr>
                <w:rFonts w:ascii="Arial" w:hAnsi="Arial" w:cs="Arial"/>
                <w:sz w:val="20"/>
                <w:szCs w:val="20"/>
              </w:rPr>
            </w:pPr>
            <w:r w:rsidRPr="0042734D">
              <w:rPr>
                <w:rFonts w:ascii="Arial" w:hAnsi="Arial" w:cs="Arial"/>
                <w:sz w:val="20"/>
                <w:szCs w:val="20"/>
              </w:rPr>
              <w:t>Pieredze pretendenta atbildīgajam būvdarbu vadītājam vismaz divu līdzīgu līgumu savlaicīgā un kvalitatīvā izpildē katrā, par līdzīgu līgumu atzīstot līgumu, kura ietvaros ir veikti visi nolikuma 2.2.punktā minētie darbi, t.sk., asfaltbetona seguma virskārtas izbūve vismaz 7’000 m</w:t>
            </w:r>
            <w:r w:rsidRPr="0042734D">
              <w:rPr>
                <w:rFonts w:ascii="Arial" w:hAnsi="Arial" w:cs="Arial"/>
                <w:sz w:val="20"/>
                <w:szCs w:val="20"/>
                <w:vertAlign w:val="superscript"/>
              </w:rPr>
              <w:t xml:space="preserve">2 </w:t>
            </w:r>
            <w:r w:rsidRPr="0042734D">
              <w:rPr>
                <w:rFonts w:ascii="Arial" w:hAnsi="Arial" w:cs="Arial"/>
                <w:sz w:val="20"/>
                <w:szCs w:val="20"/>
              </w:rPr>
              <w:t>apjomā;</w:t>
            </w:r>
          </w:p>
          <w:p w14:paraId="308E5084" w14:textId="77777777" w:rsidR="00BD06A8" w:rsidRPr="0042734D" w:rsidRDefault="00872DA7" w:rsidP="00872DA7">
            <w:pPr>
              <w:pStyle w:val="Sarakstarindkopa"/>
              <w:numPr>
                <w:ilvl w:val="0"/>
                <w:numId w:val="20"/>
              </w:numPr>
              <w:spacing w:before="20" w:after="20"/>
              <w:jc w:val="both"/>
              <w:rPr>
                <w:rFonts w:ascii="Arial" w:hAnsi="Arial" w:cs="Arial"/>
                <w:sz w:val="20"/>
                <w:szCs w:val="20"/>
              </w:rPr>
            </w:pPr>
            <w:r w:rsidRPr="0042734D">
              <w:rPr>
                <w:rFonts w:ascii="Arial" w:hAnsi="Arial" w:cs="Arial"/>
                <w:sz w:val="20"/>
                <w:szCs w:val="20"/>
              </w:rPr>
              <w:t>Spēja nodrošināt līguma izpildei vismaz 2 asfalta ieklājējus un vismaz 2 asfalta frēzes;</w:t>
            </w:r>
          </w:p>
          <w:p w14:paraId="551A1680" w14:textId="74746687" w:rsidR="00980AD2" w:rsidRPr="0042734D" w:rsidRDefault="00872DA7" w:rsidP="00872DA7">
            <w:pPr>
              <w:pStyle w:val="Sarakstarindkopa"/>
              <w:numPr>
                <w:ilvl w:val="0"/>
                <w:numId w:val="20"/>
              </w:numPr>
              <w:spacing w:before="20" w:after="20"/>
              <w:jc w:val="both"/>
              <w:rPr>
                <w:rFonts w:ascii="Arial" w:hAnsi="Arial" w:cs="Arial"/>
                <w:sz w:val="20"/>
                <w:szCs w:val="20"/>
              </w:rPr>
            </w:pPr>
            <w:r w:rsidRPr="0042734D">
              <w:rPr>
                <w:rFonts w:ascii="Arial" w:hAnsi="Arial" w:cs="Arial"/>
                <w:sz w:val="20"/>
                <w:szCs w:val="20"/>
              </w:rPr>
              <w:t>Pretendentam uz 2018. gada 31. decembri ir pozitīvs pašu kapitāls, kā arī pretendenta likviditātes kopējais koeficients (apgrozāmie līdzekļi/ īstermiņa saistības) ir ne mazāks par 1 (viens).</w:t>
            </w:r>
          </w:p>
        </w:tc>
      </w:tr>
      <w:tr w:rsidR="0042734D" w:rsidRPr="0042734D" w14:paraId="27026707" w14:textId="77777777" w:rsidTr="00415917">
        <w:tc>
          <w:tcPr>
            <w:tcW w:w="1809" w:type="dxa"/>
          </w:tcPr>
          <w:p w14:paraId="6BDFB229" w14:textId="77777777" w:rsidR="00B17635" w:rsidRPr="0042734D" w:rsidRDefault="00B17635" w:rsidP="00415917">
            <w:pPr>
              <w:spacing w:before="80" w:after="80"/>
              <w:rPr>
                <w:rFonts w:ascii="Arial" w:hAnsi="Arial" w:cs="Arial"/>
                <w:b/>
                <w:bCs/>
                <w:sz w:val="20"/>
                <w:szCs w:val="20"/>
                <w:lang w:eastAsia="en-US"/>
              </w:rPr>
            </w:pPr>
          </w:p>
          <w:p w14:paraId="6ABDB229" w14:textId="59354688" w:rsidR="00980AD2" w:rsidRPr="0042734D" w:rsidRDefault="00980AD2" w:rsidP="00415917">
            <w:pPr>
              <w:spacing w:before="80" w:after="80"/>
              <w:rPr>
                <w:rFonts w:ascii="Arial" w:hAnsi="Arial" w:cs="Arial"/>
                <w:b/>
                <w:bCs/>
                <w:sz w:val="20"/>
                <w:szCs w:val="20"/>
                <w:lang w:eastAsia="en-US"/>
              </w:rPr>
            </w:pPr>
            <w:r w:rsidRPr="0042734D">
              <w:rPr>
                <w:rFonts w:ascii="Arial" w:hAnsi="Arial" w:cs="Arial"/>
                <w:b/>
                <w:bCs/>
                <w:sz w:val="20"/>
                <w:szCs w:val="20"/>
                <w:lang w:eastAsia="en-US"/>
              </w:rPr>
              <w:t>Skaidrojums</w:t>
            </w:r>
          </w:p>
        </w:tc>
        <w:tc>
          <w:tcPr>
            <w:tcW w:w="8114" w:type="dxa"/>
          </w:tcPr>
          <w:p w14:paraId="1E70673D" w14:textId="77777777" w:rsidR="00B17635" w:rsidRPr="0042734D" w:rsidRDefault="00B17635" w:rsidP="00B17635">
            <w:pPr>
              <w:spacing w:before="20" w:after="20"/>
              <w:jc w:val="both"/>
              <w:rPr>
                <w:rFonts w:ascii="Arial" w:hAnsi="Arial" w:cs="Arial"/>
                <w:sz w:val="20"/>
                <w:szCs w:val="20"/>
                <w:lang w:eastAsia="en-US"/>
              </w:rPr>
            </w:pPr>
          </w:p>
          <w:p w14:paraId="25A04CE7" w14:textId="0A082167" w:rsidR="00980AD2" w:rsidRPr="0042734D" w:rsidRDefault="00B17635" w:rsidP="00B17635">
            <w:pPr>
              <w:spacing w:before="20" w:after="20"/>
              <w:jc w:val="both"/>
              <w:rPr>
                <w:rFonts w:ascii="Arial" w:hAnsi="Arial" w:cs="Arial"/>
                <w:sz w:val="20"/>
                <w:szCs w:val="20"/>
                <w:lang w:eastAsia="en-US"/>
              </w:rPr>
            </w:pPr>
            <w:r w:rsidRPr="0042734D">
              <w:rPr>
                <w:rFonts w:ascii="Arial" w:hAnsi="Arial" w:cs="Arial"/>
                <w:sz w:val="20"/>
                <w:szCs w:val="20"/>
                <w:lang w:eastAsia="en-US"/>
              </w:rPr>
              <w:t>Pasūtītāja ieskatā nolikums un tajā izvirzītās prasības pilnībā izpilda Publiskas personas finanšu līdzekļu un mantas izšķērdēšanas novēršanas likuma 3.panta 1.punktā (</w:t>
            </w:r>
            <w:r w:rsidRPr="0042734D">
              <w:rPr>
                <w:rFonts w:ascii="Arial" w:hAnsi="Arial" w:cs="Arial"/>
                <w:i/>
                <w:iCs/>
                <w:sz w:val="20"/>
                <w:szCs w:val="20"/>
                <w:lang w:eastAsia="en-US"/>
              </w:rPr>
              <w:t>publiska persona rīkojas ar finanšu līdzekļiem un mantu lietderīgi, tas ir: rīcībai jābūt tādai, lai mērķi sasniegtu ar mazāko finanšu līdzekļu un mantas izlietojumu</w:t>
            </w:r>
            <w:r w:rsidRPr="0042734D">
              <w:rPr>
                <w:rFonts w:ascii="Arial" w:hAnsi="Arial" w:cs="Arial"/>
                <w:sz w:val="20"/>
                <w:szCs w:val="20"/>
                <w:lang w:eastAsia="en-US"/>
              </w:rPr>
              <w:t>) noteiktās prasības, jo samērīgu prasību izvirzīšana pretendentam paplašina iespējamo pretendentu loku tādējādi nodrošinot konkurences apstākļus un iespējami zemāko cenu konkrēto mērķu sasniegšanai.</w:t>
            </w:r>
          </w:p>
          <w:p w14:paraId="14BAAB19" w14:textId="3E2B9FDD" w:rsidR="003971E2" w:rsidRPr="0042734D" w:rsidRDefault="00B17635" w:rsidP="005E4E34">
            <w:pPr>
              <w:spacing w:before="20" w:after="20"/>
              <w:jc w:val="both"/>
              <w:rPr>
                <w:rFonts w:ascii="Arial" w:hAnsi="Arial" w:cs="Arial"/>
                <w:sz w:val="20"/>
                <w:szCs w:val="20"/>
                <w:shd w:val="clear" w:color="auto" w:fill="FFFFFF"/>
              </w:rPr>
            </w:pPr>
            <w:r w:rsidRPr="0042734D">
              <w:rPr>
                <w:rFonts w:ascii="Arial" w:hAnsi="Arial" w:cs="Arial"/>
                <w:sz w:val="20"/>
                <w:szCs w:val="20"/>
                <w:lang w:eastAsia="en-US"/>
              </w:rPr>
              <w:t>Atbilstoši Publisko iepirkumu likuma 41.panta otrajai daļai: “(</w:t>
            </w:r>
            <w:r w:rsidRPr="0042734D">
              <w:rPr>
                <w:rFonts w:ascii="Arial" w:hAnsi="Arial" w:cs="Arial"/>
                <w:i/>
                <w:iCs/>
                <w:sz w:val="20"/>
                <w:szCs w:val="20"/>
                <w:lang w:eastAsia="en-US"/>
              </w:rPr>
              <w:t>2) Pasūtītājs var noteikt minimālo atbilstības līmeni šā likuma </w:t>
            </w:r>
            <w:hyperlink r:id="rId9" w:anchor="p45" w:history="1">
              <w:r w:rsidRPr="0042734D">
                <w:rPr>
                  <w:rFonts w:ascii="Arial" w:hAnsi="Arial" w:cs="Arial"/>
                  <w:i/>
                  <w:iCs/>
                  <w:sz w:val="20"/>
                  <w:szCs w:val="20"/>
                  <w:lang w:eastAsia="en-US"/>
                </w:rPr>
                <w:t>45. </w:t>
              </w:r>
            </w:hyperlink>
            <w:r w:rsidRPr="0042734D">
              <w:rPr>
                <w:rFonts w:ascii="Arial" w:hAnsi="Arial" w:cs="Arial"/>
                <w:i/>
                <w:iCs/>
                <w:sz w:val="20"/>
                <w:szCs w:val="20"/>
                <w:lang w:eastAsia="en-US"/>
              </w:rPr>
              <w:t>un </w:t>
            </w:r>
            <w:hyperlink r:id="rId10" w:anchor="p46" w:history="1">
              <w:r w:rsidRPr="0042734D">
                <w:rPr>
                  <w:rFonts w:ascii="Arial" w:hAnsi="Arial" w:cs="Arial"/>
                  <w:i/>
                  <w:iCs/>
                  <w:sz w:val="20"/>
                  <w:szCs w:val="20"/>
                  <w:lang w:eastAsia="en-US"/>
                </w:rPr>
                <w:t>46. pantā</w:t>
              </w:r>
            </w:hyperlink>
            <w:r w:rsidRPr="0042734D">
              <w:rPr>
                <w:rFonts w:ascii="Arial" w:hAnsi="Arial" w:cs="Arial"/>
                <w:i/>
                <w:iCs/>
                <w:sz w:val="20"/>
                <w:szCs w:val="20"/>
                <w:lang w:eastAsia="en-US"/>
              </w:rPr>
              <w:t xml:space="preserve"> minētajām prasībām. Prasību apjomu, kā arī pieprasīto minimālo spēju līmeni konkrētā iepirkuma līguma izpildei nosaka </w:t>
            </w:r>
            <w:r w:rsidRPr="0042734D">
              <w:rPr>
                <w:rFonts w:ascii="Arial" w:hAnsi="Arial" w:cs="Arial"/>
                <w:i/>
                <w:iCs/>
                <w:sz w:val="20"/>
                <w:szCs w:val="20"/>
                <w:lang w:eastAsia="en-US"/>
              </w:rPr>
              <w:lastRenderedPageBreak/>
              <w:t>samērīgi iepirkuma līguma priekšmetam (...)</w:t>
            </w:r>
            <w:r w:rsidRPr="0042734D">
              <w:rPr>
                <w:rFonts w:ascii="Arial" w:hAnsi="Arial" w:cs="Arial"/>
                <w:sz w:val="20"/>
                <w:szCs w:val="20"/>
                <w:lang w:eastAsia="en-US"/>
              </w:rPr>
              <w:t>”</w:t>
            </w:r>
            <w:r w:rsidR="005E4E34" w:rsidRPr="0042734D">
              <w:rPr>
                <w:rFonts w:ascii="Arial" w:hAnsi="Arial" w:cs="Arial"/>
                <w:sz w:val="20"/>
                <w:szCs w:val="20"/>
                <w:lang w:eastAsia="en-US"/>
              </w:rPr>
              <w:t>. B</w:t>
            </w:r>
            <w:r w:rsidR="003971E2" w:rsidRPr="0042734D">
              <w:rPr>
                <w:rFonts w:ascii="Arial" w:hAnsi="Arial" w:cs="Arial"/>
                <w:sz w:val="20"/>
                <w:szCs w:val="20"/>
                <w:shd w:val="clear" w:color="auto" w:fill="FFFFFF"/>
              </w:rPr>
              <w:t xml:space="preserve">alstoties uz </w:t>
            </w:r>
            <w:r w:rsidR="005E4E34" w:rsidRPr="0042734D">
              <w:rPr>
                <w:rFonts w:ascii="Arial" w:hAnsi="Arial" w:cs="Arial"/>
                <w:sz w:val="20"/>
                <w:szCs w:val="20"/>
                <w:shd w:val="clear" w:color="auto" w:fill="FFFFFF"/>
              </w:rPr>
              <w:t>iepriekšējo pieredzi</w:t>
            </w:r>
            <w:r w:rsidR="0042734D" w:rsidRPr="0042734D">
              <w:rPr>
                <w:rFonts w:ascii="Arial" w:hAnsi="Arial" w:cs="Arial"/>
                <w:sz w:val="20"/>
                <w:szCs w:val="20"/>
                <w:shd w:val="clear" w:color="auto" w:fill="FFFFFF"/>
              </w:rPr>
              <w:t>,</w:t>
            </w:r>
            <w:r w:rsidR="005E4E34" w:rsidRPr="0042734D">
              <w:rPr>
                <w:rFonts w:ascii="Arial" w:hAnsi="Arial" w:cs="Arial"/>
                <w:sz w:val="20"/>
                <w:szCs w:val="20"/>
                <w:shd w:val="clear" w:color="auto" w:fill="FFFFFF"/>
              </w:rPr>
              <w:t xml:space="preserve"> Iepirkumu komisija</w:t>
            </w:r>
            <w:r w:rsidR="003971E2" w:rsidRPr="0042734D">
              <w:rPr>
                <w:rFonts w:ascii="Arial" w:hAnsi="Arial" w:cs="Arial"/>
                <w:sz w:val="20"/>
                <w:szCs w:val="20"/>
                <w:lang w:eastAsia="en-US"/>
              </w:rPr>
              <w:t xml:space="preserve"> Pretendentiem konkursā notei</w:t>
            </w:r>
            <w:r w:rsidR="005E4E34" w:rsidRPr="0042734D">
              <w:rPr>
                <w:rFonts w:ascii="Arial" w:hAnsi="Arial" w:cs="Arial"/>
                <w:sz w:val="20"/>
                <w:szCs w:val="20"/>
                <w:lang w:eastAsia="en-US"/>
              </w:rPr>
              <w:t>kusi</w:t>
            </w:r>
            <w:r w:rsidR="003971E2" w:rsidRPr="0042734D">
              <w:rPr>
                <w:rFonts w:ascii="Arial" w:hAnsi="Arial" w:cs="Arial"/>
                <w:sz w:val="20"/>
                <w:szCs w:val="20"/>
                <w:lang w:eastAsia="en-US"/>
              </w:rPr>
              <w:t xml:space="preserve"> samērīgas kvalifikācijas prasības</w:t>
            </w:r>
            <w:r w:rsidR="003971E2" w:rsidRPr="0042734D">
              <w:rPr>
                <w:rFonts w:ascii="Arial" w:hAnsi="Arial" w:cs="Arial"/>
                <w:sz w:val="20"/>
                <w:szCs w:val="20"/>
                <w:shd w:val="clear" w:color="auto" w:fill="FFFFFF"/>
              </w:rPr>
              <w:t xml:space="preserve">. Iepirkuma priekšmets nav specifisks, līdz ar to </w:t>
            </w:r>
            <w:r w:rsidR="005E4E34" w:rsidRPr="0042734D">
              <w:rPr>
                <w:rFonts w:ascii="Arial" w:hAnsi="Arial" w:cs="Arial"/>
                <w:sz w:val="20"/>
                <w:szCs w:val="20"/>
                <w:shd w:val="clear" w:color="auto" w:fill="FFFFFF"/>
              </w:rPr>
              <w:t xml:space="preserve">pretendentiem </w:t>
            </w:r>
            <w:r w:rsidR="003971E2" w:rsidRPr="0042734D">
              <w:rPr>
                <w:rFonts w:ascii="Arial" w:hAnsi="Arial" w:cs="Arial"/>
                <w:sz w:val="20"/>
                <w:szCs w:val="20"/>
                <w:shd w:val="clear" w:color="auto" w:fill="FFFFFF"/>
              </w:rPr>
              <w:t>n</w:t>
            </w:r>
            <w:r w:rsidR="005E4E34" w:rsidRPr="0042734D">
              <w:rPr>
                <w:rFonts w:ascii="Arial" w:hAnsi="Arial" w:cs="Arial"/>
                <w:sz w:val="20"/>
                <w:szCs w:val="20"/>
                <w:shd w:val="clear" w:color="auto" w:fill="FFFFFF"/>
              </w:rPr>
              <w:t>etiek</w:t>
            </w:r>
            <w:r w:rsidR="003971E2" w:rsidRPr="0042734D">
              <w:rPr>
                <w:rFonts w:ascii="Arial" w:hAnsi="Arial" w:cs="Arial"/>
                <w:sz w:val="20"/>
                <w:szCs w:val="20"/>
                <w:shd w:val="clear" w:color="auto" w:fill="FFFFFF"/>
              </w:rPr>
              <w:t xml:space="preserve"> izvirzīt</w:t>
            </w:r>
            <w:r w:rsidR="005E4E34" w:rsidRPr="0042734D">
              <w:rPr>
                <w:rFonts w:ascii="Arial" w:hAnsi="Arial" w:cs="Arial"/>
                <w:sz w:val="20"/>
                <w:szCs w:val="20"/>
                <w:shd w:val="clear" w:color="auto" w:fill="FFFFFF"/>
              </w:rPr>
              <w:t>as</w:t>
            </w:r>
            <w:r w:rsidR="003971E2" w:rsidRPr="0042734D">
              <w:rPr>
                <w:rFonts w:ascii="Arial" w:hAnsi="Arial" w:cs="Arial"/>
                <w:sz w:val="20"/>
                <w:szCs w:val="20"/>
                <w:shd w:val="clear" w:color="auto" w:fill="FFFFFF"/>
              </w:rPr>
              <w:t xml:space="preserve"> specifikas </w:t>
            </w:r>
            <w:r w:rsidR="005E4E34" w:rsidRPr="0042734D">
              <w:rPr>
                <w:rFonts w:ascii="Arial" w:hAnsi="Arial" w:cs="Arial"/>
                <w:sz w:val="20"/>
                <w:szCs w:val="20"/>
                <w:shd w:val="clear" w:color="auto" w:fill="FFFFFF"/>
              </w:rPr>
              <w:t xml:space="preserve">pieredzes vai tehniskā aprīkojuma </w:t>
            </w:r>
            <w:r w:rsidR="003971E2" w:rsidRPr="0042734D">
              <w:rPr>
                <w:rFonts w:ascii="Arial" w:hAnsi="Arial" w:cs="Arial"/>
                <w:sz w:val="20"/>
                <w:szCs w:val="20"/>
                <w:shd w:val="clear" w:color="auto" w:fill="FFFFFF"/>
              </w:rPr>
              <w:t xml:space="preserve">prasības. </w:t>
            </w:r>
            <w:r w:rsidR="005E4E34" w:rsidRPr="0042734D">
              <w:rPr>
                <w:rFonts w:ascii="Arial" w:hAnsi="Arial" w:cs="Arial"/>
                <w:sz w:val="20"/>
                <w:szCs w:val="20"/>
                <w:shd w:val="clear" w:color="auto" w:fill="FFFFFF"/>
              </w:rPr>
              <w:t>Līdzšinējā Iepirkumu komisijas pieredze liecina, ka, j</w:t>
            </w:r>
            <w:r w:rsidR="003971E2" w:rsidRPr="0042734D">
              <w:rPr>
                <w:rFonts w:ascii="Arial" w:hAnsi="Arial" w:cs="Arial"/>
                <w:sz w:val="20"/>
                <w:szCs w:val="20"/>
                <w:shd w:val="clear" w:color="auto" w:fill="FFFFFF"/>
              </w:rPr>
              <w:t xml:space="preserve">a pretendents ir spējis veikt asfaltbetona seguma virskārtas izbūvi </w:t>
            </w:r>
            <w:r w:rsidR="003971E2" w:rsidRPr="0042734D">
              <w:rPr>
                <w:rFonts w:ascii="Arial" w:hAnsi="Arial" w:cs="Arial"/>
                <w:sz w:val="20"/>
                <w:szCs w:val="20"/>
              </w:rPr>
              <w:t>5000 m</w:t>
            </w:r>
            <w:r w:rsidR="003971E2" w:rsidRPr="0042734D">
              <w:rPr>
                <w:rFonts w:ascii="Arial" w:hAnsi="Arial" w:cs="Arial"/>
                <w:sz w:val="20"/>
                <w:szCs w:val="20"/>
                <w:vertAlign w:val="superscript"/>
              </w:rPr>
              <w:t xml:space="preserve">2 </w:t>
            </w:r>
            <w:r w:rsidR="003971E2" w:rsidRPr="0042734D">
              <w:rPr>
                <w:rFonts w:ascii="Arial" w:hAnsi="Arial" w:cs="Arial"/>
                <w:sz w:val="20"/>
                <w:szCs w:val="20"/>
              </w:rPr>
              <w:t>apjomā, tad tas spēs veikt arī asfaltbetona seguma virskārtas izbūv</w:t>
            </w:r>
            <w:r w:rsidR="005E4E34" w:rsidRPr="0042734D">
              <w:rPr>
                <w:rFonts w:ascii="Arial" w:hAnsi="Arial" w:cs="Arial"/>
                <w:sz w:val="20"/>
                <w:szCs w:val="20"/>
              </w:rPr>
              <w:t>i</w:t>
            </w:r>
            <w:r w:rsidR="003971E2" w:rsidRPr="0042734D">
              <w:rPr>
                <w:rFonts w:ascii="Arial" w:hAnsi="Arial" w:cs="Arial"/>
                <w:sz w:val="20"/>
                <w:szCs w:val="20"/>
              </w:rPr>
              <w:t xml:space="preserve"> 14000 m</w:t>
            </w:r>
            <w:r w:rsidR="003971E2" w:rsidRPr="0042734D">
              <w:rPr>
                <w:rFonts w:ascii="Arial" w:hAnsi="Arial" w:cs="Arial"/>
                <w:sz w:val="20"/>
                <w:szCs w:val="20"/>
                <w:vertAlign w:val="superscript"/>
              </w:rPr>
              <w:t>2</w:t>
            </w:r>
            <w:r w:rsidR="005E4E34" w:rsidRPr="0042734D">
              <w:rPr>
                <w:rFonts w:ascii="Arial" w:hAnsi="Arial" w:cs="Arial"/>
                <w:sz w:val="20"/>
                <w:szCs w:val="20"/>
                <w:vertAlign w:val="superscript"/>
              </w:rPr>
              <w:t xml:space="preserve"> </w:t>
            </w:r>
            <w:r w:rsidR="005E4E34" w:rsidRPr="0042734D">
              <w:rPr>
                <w:rFonts w:ascii="Arial" w:hAnsi="Arial" w:cs="Arial"/>
                <w:sz w:val="20"/>
                <w:szCs w:val="20"/>
              </w:rPr>
              <w:t>apjomā.</w:t>
            </w:r>
          </w:p>
          <w:p w14:paraId="49A4E851" w14:textId="4D8E250E" w:rsidR="003971E2" w:rsidRPr="0042734D" w:rsidRDefault="005E4E34" w:rsidP="005E4E34">
            <w:pPr>
              <w:spacing w:before="20" w:after="20"/>
              <w:jc w:val="both"/>
              <w:rPr>
                <w:rFonts w:ascii="Arial" w:hAnsi="Arial" w:cs="Arial"/>
                <w:b/>
                <w:sz w:val="20"/>
                <w:szCs w:val="20"/>
                <w:lang w:eastAsia="en-US"/>
              </w:rPr>
            </w:pPr>
            <w:r w:rsidRPr="0042734D">
              <w:rPr>
                <w:rFonts w:ascii="Arial" w:hAnsi="Arial" w:cs="Arial"/>
                <w:sz w:val="20"/>
                <w:szCs w:val="20"/>
                <w:lang w:eastAsia="en-US"/>
              </w:rPr>
              <w:t>K</w:t>
            </w:r>
            <w:r w:rsidR="003971E2" w:rsidRPr="0042734D">
              <w:rPr>
                <w:rFonts w:ascii="Arial" w:hAnsi="Arial" w:cs="Arial"/>
                <w:sz w:val="20"/>
                <w:szCs w:val="20"/>
                <w:lang w:eastAsia="en-US"/>
              </w:rPr>
              <w:t>onkursā izvirzītās prasības</w:t>
            </w:r>
            <w:r w:rsidRPr="0042734D">
              <w:rPr>
                <w:rFonts w:ascii="Arial" w:hAnsi="Arial" w:cs="Arial"/>
                <w:sz w:val="20"/>
                <w:szCs w:val="20"/>
                <w:lang w:eastAsia="en-US"/>
              </w:rPr>
              <w:t xml:space="preserve"> (</w:t>
            </w:r>
            <w:r w:rsidR="003971E2" w:rsidRPr="0042734D">
              <w:rPr>
                <w:rFonts w:ascii="Arial" w:hAnsi="Arial" w:cs="Arial"/>
                <w:sz w:val="20"/>
                <w:szCs w:val="20"/>
                <w:lang w:eastAsia="en-US"/>
              </w:rPr>
              <w:t>pretendenta finanšu apgrozījum</w:t>
            </w:r>
            <w:r w:rsidRPr="0042734D">
              <w:rPr>
                <w:rFonts w:ascii="Arial" w:hAnsi="Arial" w:cs="Arial"/>
                <w:sz w:val="20"/>
                <w:szCs w:val="20"/>
                <w:lang w:eastAsia="en-US"/>
              </w:rPr>
              <w:t>s</w:t>
            </w:r>
            <w:r w:rsidR="003971E2" w:rsidRPr="0042734D">
              <w:rPr>
                <w:rFonts w:ascii="Arial" w:hAnsi="Arial" w:cs="Arial"/>
                <w:sz w:val="20"/>
                <w:szCs w:val="20"/>
                <w:lang w:eastAsia="en-US"/>
              </w:rPr>
              <w:t>, pretendenta un personāla kvalifikācij</w:t>
            </w:r>
            <w:r w:rsidRPr="0042734D">
              <w:rPr>
                <w:rFonts w:ascii="Arial" w:hAnsi="Arial" w:cs="Arial"/>
                <w:sz w:val="20"/>
                <w:szCs w:val="20"/>
                <w:lang w:eastAsia="en-US"/>
              </w:rPr>
              <w:t>a)</w:t>
            </w:r>
            <w:r w:rsidR="003971E2" w:rsidRPr="0042734D">
              <w:rPr>
                <w:rFonts w:ascii="Arial" w:hAnsi="Arial" w:cs="Arial"/>
                <w:sz w:val="20"/>
                <w:szCs w:val="20"/>
                <w:lang w:eastAsia="en-US"/>
              </w:rPr>
              <w:t xml:space="preserve"> ir pilnībā pietiekamas, lai pārliecinātos par pretendenta spēju veikt līgumā norādītos darbus. </w:t>
            </w:r>
            <w:r w:rsidR="003971E2" w:rsidRPr="0042734D">
              <w:rPr>
                <w:rFonts w:ascii="Arial" w:hAnsi="Arial" w:cs="Arial"/>
                <w:sz w:val="20"/>
                <w:szCs w:val="20"/>
              </w:rPr>
              <w:t xml:space="preserve">Prasības attiecībā uz darbu veikšanu t.sk. kvalitāti un termiņiem ir definētas konkursa nolikumā un līgumā un to neizpildes gadījumā paredzētas noteiktas sankcijas. </w:t>
            </w:r>
            <w:r w:rsidRPr="0042734D">
              <w:rPr>
                <w:rFonts w:ascii="Arial" w:hAnsi="Arial" w:cs="Arial"/>
                <w:sz w:val="20"/>
                <w:szCs w:val="20"/>
                <w:shd w:val="clear" w:color="auto" w:fill="FFFFFF"/>
              </w:rPr>
              <w:t>Pasūtītājs, izvirzot šādas prasības konkursa nolikumā, gribējis sasniegt Publisko iepirkumu likuma mērķi - neierobežot konkurenci, t.sk. paplašināt iespējamo  piegādātāju loku.</w:t>
            </w:r>
            <w:r w:rsidRPr="0042734D">
              <w:rPr>
                <w:rFonts w:ascii="Arial" w:hAnsi="Arial" w:cs="Arial"/>
                <w:b/>
                <w:sz w:val="20"/>
                <w:szCs w:val="20"/>
                <w:lang w:eastAsia="en-US"/>
              </w:rPr>
              <w:t xml:space="preserve"> </w:t>
            </w:r>
            <w:r w:rsidR="00B17635" w:rsidRPr="0042734D">
              <w:rPr>
                <w:rFonts w:ascii="Arial" w:hAnsi="Arial" w:cs="Arial"/>
                <w:sz w:val="20"/>
                <w:szCs w:val="20"/>
                <w:lang w:eastAsia="en-US"/>
              </w:rPr>
              <w:t xml:space="preserve">Pasūtītājs uzskata, ka ir noteicis </w:t>
            </w:r>
            <w:r w:rsidR="00BD06A8" w:rsidRPr="0042734D">
              <w:rPr>
                <w:rFonts w:ascii="Arial" w:hAnsi="Arial" w:cs="Arial"/>
                <w:sz w:val="20"/>
                <w:szCs w:val="20"/>
                <w:lang w:eastAsia="en-US"/>
              </w:rPr>
              <w:t>atbilstošas, korektas un</w:t>
            </w:r>
            <w:r w:rsidR="00B17635" w:rsidRPr="0042734D">
              <w:rPr>
                <w:rFonts w:ascii="Arial" w:hAnsi="Arial" w:cs="Arial"/>
                <w:sz w:val="20"/>
                <w:szCs w:val="20"/>
                <w:lang w:eastAsia="en-US"/>
              </w:rPr>
              <w:t xml:space="preserve"> </w:t>
            </w:r>
            <w:r w:rsidR="00BD06A8" w:rsidRPr="0042734D">
              <w:rPr>
                <w:rFonts w:ascii="Arial" w:hAnsi="Arial" w:cs="Arial"/>
                <w:sz w:val="20"/>
                <w:szCs w:val="20"/>
                <w:lang w:eastAsia="en-US"/>
              </w:rPr>
              <w:t xml:space="preserve">iepirkuma līguma priekšmetam </w:t>
            </w:r>
            <w:r w:rsidR="00B17635" w:rsidRPr="0042734D">
              <w:rPr>
                <w:rFonts w:ascii="Arial" w:hAnsi="Arial" w:cs="Arial"/>
                <w:sz w:val="20"/>
                <w:szCs w:val="20"/>
                <w:lang w:eastAsia="en-US"/>
              </w:rPr>
              <w:t>samērīg</w:t>
            </w:r>
            <w:r w:rsidR="00BD06A8" w:rsidRPr="0042734D">
              <w:rPr>
                <w:rFonts w:ascii="Arial" w:hAnsi="Arial" w:cs="Arial"/>
                <w:sz w:val="20"/>
                <w:szCs w:val="20"/>
                <w:lang w:eastAsia="en-US"/>
              </w:rPr>
              <w:t xml:space="preserve">as kvalifikācijas prasības, tādejādi ievērojot </w:t>
            </w:r>
            <w:r w:rsidR="00B17635" w:rsidRPr="0042734D">
              <w:rPr>
                <w:rFonts w:ascii="Arial" w:hAnsi="Arial" w:cs="Arial"/>
                <w:sz w:val="20"/>
                <w:szCs w:val="20"/>
                <w:lang w:eastAsia="en-US"/>
              </w:rPr>
              <w:t>Publisko iepirkumu likumā paustos principus: iepirkuma atklātums, piegādātāju brīva konkurence, kā arī vienlīdzīga un taisnīga attieksme pret tiem un pasūtītāju līdzekļu efektīva izmantošana maksimāli samazinot pasūtītāja risku.</w:t>
            </w:r>
            <w:r w:rsidR="00BD06A8" w:rsidRPr="0042734D">
              <w:rPr>
                <w:rFonts w:ascii="Arial" w:hAnsi="Arial" w:cs="Arial"/>
                <w:sz w:val="20"/>
                <w:szCs w:val="20"/>
                <w:lang w:eastAsia="en-US"/>
              </w:rPr>
              <w:t xml:space="preserve"> </w:t>
            </w:r>
            <w:r w:rsidR="00B17635" w:rsidRPr="0042734D">
              <w:rPr>
                <w:rFonts w:ascii="Arial" w:hAnsi="Arial" w:cs="Arial"/>
                <w:sz w:val="20"/>
                <w:szCs w:val="20"/>
                <w:lang w:eastAsia="en-US"/>
              </w:rPr>
              <w:t xml:space="preserve">Pasūtītājs veic publisku iepirkumu atbilstoši Publisko iepirkumu likumam tieši ar mērķi – lai sasniegtu mazāko finanšu līdzekļu un mantas izlietojumu. </w:t>
            </w:r>
          </w:p>
          <w:p w14:paraId="6F8D9E64" w14:textId="61306C8A" w:rsidR="00B17635" w:rsidRPr="0042734D" w:rsidRDefault="005E4E34" w:rsidP="003971E2">
            <w:pPr>
              <w:jc w:val="both"/>
              <w:rPr>
                <w:rFonts w:ascii="Arial" w:hAnsi="Arial" w:cs="Arial"/>
                <w:sz w:val="20"/>
                <w:szCs w:val="20"/>
                <w:lang w:eastAsia="en-US"/>
              </w:rPr>
            </w:pPr>
            <w:r w:rsidRPr="0042734D">
              <w:rPr>
                <w:rFonts w:ascii="Arial" w:hAnsi="Arial" w:cs="Arial"/>
                <w:sz w:val="20"/>
                <w:szCs w:val="20"/>
              </w:rPr>
              <w:t>P</w:t>
            </w:r>
            <w:r w:rsidR="006A6D36" w:rsidRPr="0042734D">
              <w:rPr>
                <w:rFonts w:ascii="Arial" w:hAnsi="Arial" w:cs="Arial"/>
                <w:sz w:val="20"/>
                <w:szCs w:val="20"/>
              </w:rPr>
              <w:t xml:space="preserve">iedāvātās kvalifikācijas prasību izmaiņas </w:t>
            </w:r>
            <w:r w:rsidR="006A6D36" w:rsidRPr="0042734D">
              <w:rPr>
                <w:rFonts w:ascii="Arial" w:hAnsi="Arial" w:cs="Arial"/>
                <w:sz w:val="20"/>
                <w:szCs w:val="20"/>
                <w:lang w:eastAsia="en-US"/>
              </w:rPr>
              <w:t>nepamatoti sašaurina pretendentu loku</w:t>
            </w:r>
            <w:r w:rsidR="003971E2" w:rsidRPr="0042734D">
              <w:rPr>
                <w:rFonts w:ascii="Arial" w:hAnsi="Arial" w:cs="Arial"/>
                <w:sz w:val="20"/>
                <w:szCs w:val="20"/>
                <w:lang w:eastAsia="en-US"/>
              </w:rPr>
              <w:t>,</w:t>
            </w:r>
            <w:r w:rsidR="006A6D36" w:rsidRPr="0042734D">
              <w:rPr>
                <w:rFonts w:ascii="Arial" w:hAnsi="Arial" w:cs="Arial"/>
                <w:sz w:val="20"/>
                <w:szCs w:val="20"/>
                <w:lang w:eastAsia="en-US"/>
              </w:rPr>
              <w:t xml:space="preserve"> </w:t>
            </w:r>
            <w:r w:rsidR="006A6D36" w:rsidRPr="0042734D">
              <w:rPr>
                <w:rFonts w:ascii="Arial" w:hAnsi="Arial" w:cs="Arial"/>
                <w:sz w:val="20"/>
                <w:szCs w:val="20"/>
              </w:rPr>
              <w:t>ir konkurenci samazinošas</w:t>
            </w:r>
            <w:r w:rsidRPr="0042734D">
              <w:rPr>
                <w:rFonts w:ascii="Arial" w:hAnsi="Arial" w:cs="Arial"/>
                <w:sz w:val="20"/>
                <w:szCs w:val="20"/>
              </w:rPr>
              <w:t>,</w:t>
            </w:r>
            <w:r w:rsidR="006A6D36" w:rsidRPr="0042734D">
              <w:rPr>
                <w:rFonts w:ascii="Arial" w:hAnsi="Arial" w:cs="Arial"/>
                <w:sz w:val="20"/>
                <w:szCs w:val="20"/>
              </w:rPr>
              <w:t xml:space="preserve"> </w:t>
            </w:r>
            <w:r w:rsidR="003971E2" w:rsidRPr="0042734D">
              <w:rPr>
                <w:rFonts w:ascii="Arial" w:hAnsi="Arial" w:cs="Arial"/>
                <w:sz w:val="20"/>
                <w:szCs w:val="20"/>
              </w:rPr>
              <w:t xml:space="preserve">veicina </w:t>
            </w:r>
            <w:r w:rsidR="003971E2" w:rsidRPr="0042734D">
              <w:rPr>
                <w:rFonts w:ascii="Arial" w:hAnsi="Arial" w:cs="Arial"/>
                <w:sz w:val="20"/>
                <w:szCs w:val="20"/>
                <w:lang w:eastAsia="en-US"/>
              </w:rPr>
              <w:t>Publisko iepirkumu likumā noteikto principu neievērošanu</w:t>
            </w:r>
            <w:r w:rsidR="003971E2" w:rsidRPr="0042734D">
              <w:rPr>
                <w:rFonts w:ascii="Arial" w:hAnsi="Arial" w:cs="Arial"/>
                <w:sz w:val="20"/>
                <w:szCs w:val="20"/>
              </w:rPr>
              <w:t xml:space="preserve"> </w:t>
            </w:r>
            <w:r w:rsidR="006A6D36" w:rsidRPr="0042734D">
              <w:rPr>
                <w:rFonts w:ascii="Arial" w:hAnsi="Arial" w:cs="Arial"/>
                <w:sz w:val="20"/>
                <w:szCs w:val="20"/>
              </w:rPr>
              <w:t>un pasūtītāja kā publisku līdzekļu pārvaldītāja ieskatā nav atbalstāmas.</w:t>
            </w:r>
            <w:r w:rsidR="003971E2" w:rsidRPr="0042734D">
              <w:rPr>
                <w:rFonts w:ascii="Arial" w:hAnsi="Arial" w:cs="Arial"/>
                <w:sz w:val="20"/>
                <w:szCs w:val="20"/>
                <w:lang w:eastAsia="en-US"/>
              </w:rPr>
              <w:t xml:space="preserve"> </w:t>
            </w:r>
          </w:p>
        </w:tc>
      </w:tr>
      <w:tr w:rsidR="0042734D" w:rsidRPr="0042734D" w14:paraId="3D6E02F7" w14:textId="77777777" w:rsidTr="00415917">
        <w:tc>
          <w:tcPr>
            <w:tcW w:w="9923" w:type="dxa"/>
            <w:gridSpan w:val="2"/>
            <w:shd w:val="clear" w:color="auto" w:fill="CCFFCC"/>
          </w:tcPr>
          <w:p w14:paraId="22374565" w14:textId="77777777" w:rsidR="00980AD2" w:rsidRPr="0042734D" w:rsidRDefault="00980AD2" w:rsidP="00415917">
            <w:pPr>
              <w:tabs>
                <w:tab w:val="left" w:pos="2552"/>
              </w:tabs>
              <w:suppressAutoHyphens/>
              <w:autoSpaceDE w:val="0"/>
              <w:jc w:val="both"/>
              <w:rPr>
                <w:rFonts w:ascii="Arial" w:hAnsi="Arial" w:cs="Arial"/>
                <w:b/>
                <w:bCs/>
                <w:sz w:val="12"/>
                <w:szCs w:val="12"/>
                <w:lang w:eastAsia="ar-SA"/>
              </w:rPr>
            </w:pPr>
          </w:p>
        </w:tc>
      </w:tr>
    </w:tbl>
    <w:p w14:paraId="54A84670" w14:textId="77777777" w:rsidR="005E4E34" w:rsidRPr="0042734D" w:rsidRDefault="005E4E34">
      <w:pPr>
        <w:spacing w:before="20" w:after="20"/>
        <w:rPr>
          <w:rFonts w:ascii="Arial" w:hAnsi="Arial" w:cs="Arial"/>
          <w:b/>
          <w:sz w:val="20"/>
          <w:szCs w:val="20"/>
          <w:lang w:eastAsia="en-US"/>
        </w:rPr>
      </w:pPr>
    </w:p>
    <w:sectPr w:rsidR="005E4E34" w:rsidRPr="0042734D" w:rsidSect="00032669">
      <w:headerReference w:type="default" r:id="rId11"/>
      <w:footerReference w:type="default" r:id="rId12"/>
      <w:headerReference w:type="first" r:id="rId13"/>
      <w:pgSz w:w="11906" w:h="16838"/>
      <w:pgMar w:top="851" w:right="1134" w:bottom="851"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C077" w14:textId="77777777" w:rsidR="00A22426" w:rsidRDefault="00A22426" w:rsidP="009258C8">
      <w:r>
        <w:separator/>
      </w:r>
    </w:p>
  </w:endnote>
  <w:endnote w:type="continuationSeparator" w:id="0">
    <w:p w14:paraId="3A2AC583" w14:textId="77777777" w:rsidR="00A22426" w:rsidRDefault="00A2242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715269"/>
      <w:docPartObj>
        <w:docPartGallery w:val="Page Numbers (Bottom of Page)"/>
        <w:docPartUnique/>
      </w:docPartObj>
    </w:sdtPr>
    <w:sdtEndPr/>
    <w:sdtContent>
      <w:p w14:paraId="7AAD817D" w14:textId="554C0C20" w:rsidR="000F2912" w:rsidRDefault="000F2912">
        <w:pPr>
          <w:pStyle w:val="Kjene"/>
          <w:jc w:val="right"/>
        </w:pPr>
        <w:r>
          <w:fldChar w:fldCharType="begin"/>
        </w:r>
        <w:r>
          <w:instrText>PAGE   \* MERGEFORMAT</w:instrText>
        </w:r>
        <w:r>
          <w:fldChar w:fldCharType="separate"/>
        </w:r>
        <w:r>
          <w:t>2</w:t>
        </w:r>
        <w: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2B96" w14:textId="77777777" w:rsidR="00A22426" w:rsidRDefault="00A22426" w:rsidP="009258C8">
      <w:r>
        <w:separator/>
      </w:r>
    </w:p>
  </w:footnote>
  <w:footnote w:type="continuationSeparator" w:id="0">
    <w:p w14:paraId="0C62699E" w14:textId="77777777" w:rsidR="00A22426" w:rsidRDefault="00A22426"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DBF6C53"/>
    <w:multiLevelType w:val="multilevel"/>
    <w:tmpl w:val="17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854367"/>
    <w:multiLevelType w:val="hybridMultilevel"/>
    <w:tmpl w:val="1486CE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2"/>
  </w:num>
  <w:num w:numId="6">
    <w:abstractNumId w:val="8"/>
  </w:num>
  <w:num w:numId="7">
    <w:abstractNumId w:val="3"/>
  </w:num>
  <w:num w:numId="8">
    <w:abstractNumId w:val="17"/>
  </w:num>
  <w:num w:numId="9">
    <w:abstractNumId w:val="6"/>
  </w:num>
  <w:num w:numId="10">
    <w:abstractNumId w:val="5"/>
  </w:num>
  <w:num w:numId="11">
    <w:abstractNumId w:val="17"/>
  </w:num>
  <w:num w:numId="12">
    <w:abstractNumId w:val="6"/>
  </w:num>
  <w:num w:numId="13">
    <w:abstractNumId w:val="15"/>
  </w:num>
  <w:num w:numId="14">
    <w:abstractNumId w:val="13"/>
  </w:num>
  <w:num w:numId="15">
    <w:abstractNumId w:val="16"/>
  </w:num>
  <w:num w:numId="16">
    <w:abstractNumId w:val="14"/>
  </w:num>
  <w:num w:numId="17">
    <w:abstractNumId w:val="12"/>
  </w:num>
  <w:num w:numId="18">
    <w:abstractNumId w:val="4"/>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2669"/>
    <w:rsid w:val="00036C5D"/>
    <w:rsid w:val="000466AE"/>
    <w:rsid w:val="00046F67"/>
    <w:rsid w:val="00051438"/>
    <w:rsid w:val="00051DC2"/>
    <w:rsid w:val="00052C2D"/>
    <w:rsid w:val="000667F2"/>
    <w:rsid w:val="00067C8C"/>
    <w:rsid w:val="0007583C"/>
    <w:rsid w:val="00083723"/>
    <w:rsid w:val="0009177F"/>
    <w:rsid w:val="000A2029"/>
    <w:rsid w:val="000A6CFF"/>
    <w:rsid w:val="000B7112"/>
    <w:rsid w:val="000C0D24"/>
    <w:rsid w:val="000C6C0F"/>
    <w:rsid w:val="000C6F96"/>
    <w:rsid w:val="000D173B"/>
    <w:rsid w:val="000D60B6"/>
    <w:rsid w:val="000E2068"/>
    <w:rsid w:val="000F232A"/>
    <w:rsid w:val="000F2912"/>
    <w:rsid w:val="000F2AAC"/>
    <w:rsid w:val="000F5CE6"/>
    <w:rsid w:val="000F761E"/>
    <w:rsid w:val="000F7E92"/>
    <w:rsid w:val="001002D7"/>
    <w:rsid w:val="00101C50"/>
    <w:rsid w:val="00116EAC"/>
    <w:rsid w:val="00120BDB"/>
    <w:rsid w:val="00122BBD"/>
    <w:rsid w:val="00126735"/>
    <w:rsid w:val="00133187"/>
    <w:rsid w:val="00133287"/>
    <w:rsid w:val="0013367A"/>
    <w:rsid w:val="00134325"/>
    <w:rsid w:val="00137A06"/>
    <w:rsid w:val="00142C09"/>
    <w:rsid w:val="0014680E"/>
    <w:rsid w:val="00155DC8"/>
    <w:rsid w:val="00165C38"/>
    <w:rsid w:val="00170F74"/>
    <w:rsid w:val="0017391A"/>
    <w:rsid w:val="0017483F"/>
    <w:rsid w:val="00175F38"/>
    <w:rsid w:val="00182E07"/>
    <w:rsid w:val="00183F4A"/>
    <w:rsid w:val="00190FFF"/>
    <w:rsid w:val="00193F8A"/>
    <w:rsid w:val="001979CE"/>
    <w:rsid w:val="001A0F4A"/>
    <w:rsid w:val="001A1CF4"/>
    <w:rsid w:val="001A2F50"/>
    <w:rsid w:val="001A7DD9"/>
    <w:rsid w:val="001B0DCB"/>
    <w:rsid w:val="001C29B2"/>
    <w:rsid w:val="001D64EF"/>
    <w:rsid w:val="001D6E78"/>
    <w:rsid w:val="001E10BE"/>
    <w:rsid w:val="001E6C76"/>
    <w:rsid w:val="001F0C1D"/>
    <w:rsid w:val="001F5D9A"/>
    <w:rsid w:val="00200FA6"/>
    <w:rsid w:val="00202C90"/>
    <w:rsid w:val="00203942"/>
    <w:rsid w:val="00210876"/>
    <w:rsid w:val="002127F0"/>
    <w:rsid w:val="00241932"/>
    <w:rsid w:val="0024293C"/>
    <w:rsid w:val="00242DBA"/>
    <w:rsid w:val="00253EA0"/>
    <w:rsid w:val="002607C8"/>
    <w:rsid w:val="00264CAB"/>
    <w:rsid w:val="002652A2"/>
    <w:rsid w:val="0027523D"/>
    <w:rsid w:val="00277C93"/>
    <w:rsid w:val="002809D3"/>
    <w:rsid w:val="00287469"/>
    <w:rsid w:val="00290F67"/>
    <w:rsid w:val="00295DBD"/>
    <w:rsid w:val="002A30A3"/>
    <w:rsid w:val="002A4B70"/>
    <w:rsid w:val="002A71F7"/>
    <w:rsid w:val="002B4A91"/>
    <w:rsid w:val="002B6C46"/>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17BE5"/>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971E2"/>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BAA"/>
    <w:rsid w:val="00426CAC"/>
    <w:rsid w:val="00426CD6"/>
    <w:rsid w:val="00426D9B"/>
    <w:rsid w:val="00426F2E"/>
    <w:rsid w:val="0042734D"/>
    <w:rsid w:val="00431511"/>
    <w:rsid w:val="00433ED2"/>
    <w:rsid w:val="00436C14"/>
    <w:rsid w:val="0044260F"/>
    <w:rsid w:val="00447698"/>
    <w:rsid w:val="00451FAD"/>
    <w:rsid w:val="00471357"/>
    <w:rsid w:val="004722D9"/>
    <w:rsid w:val="00472A30"/>
    <w:rsid w:val="00480FCA"/>
    <w:rsid w:val="00483745"/>
    <w:rsid w:val="00486A8E"/>
    <w:rsid w:val="00486D6F"/>
    <w:rsid w:val="0049522F"/>
    <w:rsid w:val="004975A3"/>
    <w:rsid w:val="004A0F85"/>
    <w:rsid w:val="004B4A7F"/>
    <w:rsid w:val="004C530E"/>
    <w:rsid w:val="004D07E4"/>
    <w:rsid w:val="004D4550"/>
    <w:rsid w:val="004E2EB0"/>
    <w:rsid w:val="004E6652"/>
    <w:rsid w:val="004F24EE"/>
    <w:rsid w:val="004F2CE8"/>
    <w:rsid w:val="00511BC3"/>
    <w:rsid w:val="00512D8B"/>
    <w:rsid w:val="00513C45"/>
    <w:rsid w:val="00516FE2"/>
    <w:rsid w:val="00527B0B"/>
    <w:rsid w:val="00533CFC"/>
    <w:rsid w:val="00537B5A"/>
    <w:rsid w:val="00541322"/>
    <w:rsid w:val="00543085"/>
    <w:rsid w:val="00543B29"/>
    <w:rsid w:val="00546419"/>
    <w:rsid w:val="0055068B"/>
    <w:rsid w:val="00553AE3"/>
    <w:rsid w:val="00562702"/>
    <w:rsid w:val="0056331F"/>
    <w:rsid w:val="00563D75"/>
    <w:rsid w:val="0056464C"/>
    <w:rsid w:val="005A2099"/>
    <w:rsid w:val="005B33BE"/>
    <w:rsid w:val="005B5760"/>
    <w:rsid w:val="005B5B18"/>
    <w:rsid w:val="005C1FD9"/>
    <w:rsid w:val="005D255D"/>
    <w:rsid w:val="005D29D0"/>
    <w:rsid w:val="005D3BF3"/>
    <w:rsid w:val="005D5BFB"/>
    <w:rsid w:val="005E0637"/>
    <w:rsid w:val="005E4E34"/>
    <w:rsid w:val="005F5AA8"/>
    <w:rsid w:val="0060323C"/>
    <w:rsid w:val="00607627"/>
    <w:rsid w:val="00613439"/>
    <w:rsid w:val="00616BBA"/>
    <w:rsid w:val="006172F6"/>
    <w:rsid w:val="006236F1"/>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82E66"/>
    <w:rsid w:val="0068443A"/>
    <w:rsid w:val="00685EC7"/>
    <w:rsid w:val="00685F30"/>
    <w:rsid w:val="00686A00"/>
    <w:rsid w:val="006922BF"/>
    <w:rsid w:val="0069314B"/>
    <w:rsid w:val="00694433"/>
    <w:rsid w:val="006A0E36"/>
    <w:rsid w:val="006A58E9"/>
    <w:rsid w:val="006A6D36"/>
    <w:rsid w:val="006B2C66"/>
    <w:rsid w:val="006B31A1"/>
    <w:rsid w:val="006C69D2"/>
    <w:rsid w:val="006D0D39"/>
    <w:rsid w:val="006D4FBC"/>
    <w:rsid w:val="006D5EF7"/>
    <w:rsid w:val="006D632F"/>
    <w:rsid w:val="006E5122"/>
    <w:rsid w:val="006E7097"/>
    <w:rsid w:val="006F4F03"/>
    <w:rsid w:val="006F7D94"/>
    <w:rsid w:val="00704F88"/>
    <w:rsid w:val="007056F9"/>
    <w:rsid w:val="0070791A"/>
    <w:rsid w:val="00710081"/>
    <w:rsid w:val="0072778E"/>
    <w:rsid w:val="007302C5"/>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3E7A"/>
    <w:rsid w:val="007C7317"/>
    <w:rsid w:val="007D2A66"/>
    <w:rsid w:val="007D47E3"/>
    <w:rsid w:val="007D4EA5"/>
    <w:rsid w:val="007E114D"/>
    <w:rsid w:val="007E130B"/>
    <w:rsid w:val="007F17A7"/>
    <w:rsid w:val="008008CD"/>
    <w:rsid w:val="00802ABB"/>
    <w:rsid w:val="00805589"/>
    <w:rsid w:val="00814145"/>
    <w:rsid w:val="00814871"/>
    <w:rsid w:val="00823D06"/>
    <w:rsid w:val="0083083F"/>
    <w:rsid w:val="00842C2C"/>
    <w:rsid w:val="00844638"/>
    <w:rsid w:val="00845A19"/>
    <w:rsid w:val="00847485"/>
    <w:rsid w:val="00854856"/>
    <w:rsid w:val="00863A03"/>
    <w:rsid w:val="00864702"/>
    <w:rsid w:val="00872DA7"/>
    <w:rsid w:val="00876669"/>
    <w:rsid w:val="00886EDC"/>
    <w:rsid w:val="00887E07"/>
    <w:rsid w:val="008928FB"/>
    <w:rsid w:val="00896E7E"/>
    <w:rsid w:val="008A3384"/>
    <w:rsid w:val="008A65EA"/>
    <w:rsid w:val="008B10F6"/>
    <w:rsid w:val="008B4511"/>
    <w:rsid w:val="008C786C"/>
    <w:rsid w:val="008E3AD1"/>
    <w:rsid w:val="008F2302"/>
    <w:rsid w:val="008F6D32"/>
    <w:rsid w:val="00910861"/>
    <w:rsid w:val="00914C9A"/>
    <w:rsid w:val="0092169B"/>
    <w:rsid w:val="0092513C"/>
    <w:rsid w:val="009258C8"/>
    <w:rsid w:val="00931ABE"/>
    <w:rsid w:val="009349E7"/>
    <w:rsid w:val="00935A78"/>
    <w:rsid w:val="00936DB7"/>
    <w:rsid w:val="00937989"/>
    <w:rsid w:val="00941C5B"/>
    <w:rsid w:val="00943B9B"/>
    <w:rsid w:val="009440E9"/>
    <w:rsid w:val="009450F0"/>
    <w:rsid w:val="00953BB3"/>
    <w:rsid w:val="00955BFB"/>
    <w:rsid w:val="00957658"/>
    <w:rsid w:val="009641AD"/>
    <w:rsid w:val="00965736"/>
    <w:rsid w:val="00971BB3"/>
    <w:rsid w:val="009768F0"/>
    <w:rsid w:val="0097753A"/>
    <w:rsid w:val="00980AD2"/>
    <w:rsid w:val="00983168"/>
    <w:rsid w:val="009849DD"/>
    <w:rsid w:val="00985A62"/>
    <w:rsid w:val="00987F37"/>
    <w:rsid w:val="009931B0"/>
    <w:rsid w:val="00993B83"/>
    <w:rsid w:val="00993E99"/>
    <w:rsid w:val="009A166C"/>
    <w:rsid w:val="009A231C"/>
    <w:rsid w:val="009A3836"/>
    <w:rsid w:val="009A5617"/>
    <w:rsid w:val="009B2ED3"/>
    <w:rsid w:val="009B53A3"/>
    <w:rsid w:val="009B5659"/>
    <w:rsid w:val="009B7FC5"/>
    <w:rsid w:val="009C5FC9"/>
    <w:rsid w:val="009C7D67"/>
    <w:rsid w:val="009D2242"/>
    <w:rsid w:val="009D713C"/>
    <w:rsid w:val="009E365C"/>
    <w:rsid w:val="009E77A0"/>
    <w:rsid w:val="009F674C"/>
    <w:rsid w:val="00A01D7F"/>
    <w:rsid w:val="00A02E57"/>
    <w:rsid w:val="00A04216"/>
    <w:rsid w:val="00A22426"/>
    <w:rsid w:val="00A24696"/>
    <w:rsid w:val="00A25642"/>
    <w:rsid w:val="00A27DB1"/>
    <w:rsid w:val="00A34670"/>
    <w:rsid w:val="00A43292"/>
    <w:rsid w:val="00A55CAE"/>
    <w:rsid w:val="00A56EAF"/>
    <w:rsid w:val="00A72CAC"/>
    <w:rsid w:val="00A76739"/>
    <w:rsid w:val="00A80BAA"/>
    <w:rsid w:val="00A8500B"/>
    <w:rsid w:val="00A90E5F"/>
    <w:rsid w:val="00A92E31"/>
    <w:rsid w:val="00AA2F5E"/>
    <w:rsid w:val="00AA61B4"/>
    <w:rsid w:val="00AB31C1"/>
    <w:rsid w:val="00AB6E2E"/>
    <w:rsid w:val="00AB7C86"/>
    <w:rsid w:val="00AD177F"/>
    <w:rsid w:val="00AD2C42"/>
    <w:rsid w:val="00AE1A32"/>
    <w:rsid w:val="00AE2B0F"/>
    <w:rsid w:val="00AE2B38"/>
    <w:rsid w:val="00AE3706"/>
    <w:rsid w:val="00B0260B"/>
    <w:rsid w:val="00B06E11"/>
    <w:rsid w:val="00B108D7"/>
    <w:rsid w:val="00B11CEF"/>
    <w:rsid w:val="00B123C2"/>
    <w:rsid w:val="00B15588"/>
    <w:rsid w:val="00B17635"/>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4D40"/>
    <w:rsid w:val="00B861E8"/>
    <w:rsid w:val="00B916E9"/>
    <w:rsid w:val="00B92FED"/>
    <w:rsid w:val="00B9549D"/>
    <w:rsid w:val="00B96D9D"/>
    <w:rsid w:val="00B97A1E"/>
    <w:rsid w:val="00BA19DA"/>
    <w:rsid w:val="00BA4554"/>
    <w:rsid w:val="00BA5774"/>
    <w:rsid w:val="00BB020C"/>
    <w:rsid w:val="00BC5380"/>
    <w:rsid w:val="00BD06A8"/>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567B1"/>
    <w:rsid w:val="00C6394C"/>
    <w:rsid w:val="00C66B1D"/>
    <w:rsid w:val="00C72644"/>
    <w:rsid w:val="00C728D7"/>
    <w:rsid w:val="00C81847"/>
    <w:rsid w:val="00C81D0A"/>
    <w:rsid w:val="00C923A7"/>
    <w:rsid w:val="00C96EE9"/>
    <w:rsid w:val="00CA1250"/>
    <w:rsid w:val="00CA1CAD"/>
    <w:rsid w:val="00CA2BE6"/>
    <w:rsid w:val="00CA3645"/>
    <w:rsid w:val="00CA4BAD"/>
    <w:rsid w:val="00CA6A5F"/>
    <w:rsid w:val="00CA70B1"/>
    <w:rsid w:val="00CB7C80"/>
    <w:rsid w:val="00CD1907"/>
    <w:rsid w:val="00CD20D3"/>
    <w:rsid w:val="00CD5991"/>
    <w:rsid w:val="00CE38D6"/>
    <w:rsid w:val="00CE58FC"/>
    <w:rsid w:val="00CE7E57"/>
    <w:rsid w:val="00CF05C5"/>
    <w:rsid w:val="00CF2F6F"/>
    <w:rsid w:val="00CF74E4"/>
    <w:rsid w:val="00D03C2E"/>
    <w:rsid w:val="00D04A18"/>
    <w:rsid w:val="00D1697F"/>
    <w:rsid w:val="00D25DF2"/>
    <w:rsid w:val="00D436CA"/>
    <w:rsid w:val="00D52EB5"/>
    <w:rsid w:val="00D63773"/>
    <w:rsid w:val="00D65789"/>
    <w:rsid w:val="00D71F7F"/>
    <w:rsid w:val="00D73524"/>
    <w:rsid w:val="00D7566E"/>
    <w:rsid w:val="00D85128"/>
    <w:rsid w:val="00D8526D"/>
    <w:rsid w:val="00D95963"/>
    <w:rsid w:val="00DB58CA"/>
    <w:rsid w:val="00DC04D3"/>
    <w:rsid w:val="00DC37D9"/>
    <w:rsid w:val="00DC52B1"/>
    <w:rsid w:val="00DD320A"/>
    <w:rsid w:val="00DD3CA1"/>
    <w:rsid w:val="00DD448B"/>
    <w:rsid w:val="00DE53A4"/>
    <w:rsid w:val="00DF489E"/>
    <w:rsid w:val="00DF6B01"/>
    <w:rsid w:val="00DF7405"/>
    <w:rsid w:val="00E05DCC"/>
    <w:rsid w:val="00E1321C"/>
    <w:rsid w:val="00E13E07"/>
    <w:rsid w:val="00E217C1"/>
    <w:rsid w:val="00E25266"/>
    <w:rsid w:val="00E30DF4"/>
    <w:rsid w:val="00E324A1"/>
    <w:rsid w:val="00E3394D"/>
    <w:rsid w:val="00E406AB"/>
    <w:rsid w:val="00E4129D"/>
    <w:rsid w:val="00E53896"/>
    <w:rsid w:val="00E62453"/>
    <w:rsid w:val="00E6297F"/>
    <w:rsid w:val="00E63957"/>
    <w:rsid w:val="00E652D0"/>
    <w:rsid w:val="00E726D2"/>
    <w:rsid w:val="00E746CC"/>
    <w:rsid w:val="00E75A59"/>
    <w:rsid w:val="00E84926"/>
    <w:rsid w:val="00E878D2"/>
    <w:rsid w:val="00E90D4C"/>
    <w:rsid w:val="00E922CC"/>
    <w:rsid w:val="00E93F70"/>
    <w:rsid w:val="00EA0238"/>
    <w:rsid w:val="00EA229C"/>
    <w:rsid w:val="00EB0F00"/>
    <w:rsid w:val="00EB209C"/>
    <w:rsid w:val="00EB5401"/>
    <w:rsid w:val="00ED3FE4"/>
    <w:rsid w:val="00EE026C"/>
    <w:rsid w:val="00EE20D2"/>
    <w:rsid w:val="00EE7891"/>
    <w:rsid w:val="00EF0A80"/>
    <w:rsid w:val="00EF0FFD"/>
    <w:rsid w:val="00F00003"/>
    <w:rsid w:val="00F14D7E"/>
    <w:rsid w:val="00F26A2A"/>
    <w:rsid w:val="00F274BF"/>
    <w:rsid w:val="00F30DB7"/>
    <w:rsid w:val="00F44FBD"/>
    <w:rsid w:val="00F465E9"/>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C0AEB"/>
    <w:rsid w:val="00FD02AC"/>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79D389"/>
  <w15:docId w15:val="{4488517D-E1A3-4DB7-B8E9-F2A45D5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uiPriority w:val="99"/>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character" w:styleId="Neatrisintapieminana">
    <w:name w:val="Unresolved Mention"/>
    <w:basedOn w:val="Noklusjumarindkopasfonts"/>
    <w:uiPriority w:val="99"/>
    <w:semiHidden/>
    <w:unhideWhenUsed/>
    <w:rsid w:val="00EA0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57178722">
      <w:bodyDiv w:val="1"/>
      <w:marLeft w:val="0"/>
      <w:marRight w:val="0"/>
      <w:marTop w:val="0"/>
      <w:marBottom w:val="0"/>
      <w:divBdr>
        <w:top w:val="none" w:sz="0" w:space="0" w:color="auto"/>
        <w:left w:val="none" w:sz="0" w:space="0" w:color="auto"/>
        <w:bottom w:val="none" w:sz="0" w:space="0" w:color="auto"/>
        <w:right w:val="none" w:sz="0" w:space="0" w:color="auto"/>
      </w:divBdr>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13623567">
      <w:bodyDiv w:val="1"/>
      <w:marLeft w:val="0"/>
      <w:marRight w:val="0"/>
      <w:marTop w:val="0"/>
      <w:marBottom w:val="0"/>
      <w:divBdr>
        <w:top w:val="none" w:sz="0" w:space="0" w:color="auto"/>
        <w:left w:val="none" w:sz="0" w:space="0" w:color="auto"/>
        <w:bottom w:val="none" w:sz="0" w:space="0" w:color="auto"/>
        <w:right w:val="none" w:sz="0" w:space="0" w:color="auto"/>
      </w:divBdr>
      <w:divsChild>
        <w:div w:id="2095736233">
          <w:marLeft w:val="0"/>
          <w:marRight w:val="0"/>
          <w:marTop w:val="0"/>
          <w:marBottom w:val="0"/>
          <w:divBdr>
            <w:top w:val="none" w:sz="0" w:space="0" w:color="auto"/>
            <w:left w:val="none" w:sz="0" w:space="0" w:color="auto"/>
            <w:bottom w:val="none" w:sz="0" w:space="0" w:color="auto"/>
            <w:right w:val="none" w:sz="0" w:space="0" w:color="auto"/>
          </w:divBdr>
          <w:divsChild>
            <w:div w:id="1653021958">
              <w:marLeft w:val="0"/>
              <w:marRight w:val="0"/>
              <w:marTop w:val="0"/>
              <w:marBottom w:val="0"/>
              <w:divBdr>
                <w:top w:val="none" w:sz="0" w:space="0" w:color="auto"/>
                <w:left w:val="none" w:sz="0" w:space="0" w:color="auto"/>
                <w:bottom w:val="none" w:sz="0" w:space="0" w:color="auto"/>
                <w:right w:val="none" w:sz="0" w:space="0" w:color="auto"/>
              </w:divBdr>
              <w:divsChild>
                <w:div w:id="376779662">
                  <w:marLeft w:val="0"/>
                  <w:marRight w:val="0"/>
                  <w:marTop w:val="0"/>
                  <w:marBottom w:val="0"/>
                  <w:divBdr>
                    <w:top w:val="none" w:sz="0" w:space="0" w:color="auto"/>
                    <w:left w:val="none" w:sz="0" w:space="0" w:color="auto"/>
                    <w:bottom w:val="none" w:sz="0" w:space="0" w:color="auto"/>
                    <w:right w:val="none" w:sz="0" w:space="0" w:color="auto"/>
                  </w:divBdr>
                  <w:divsChild>
                    <w:div w:id="1621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4921976">
      <w:bodyDiv w:val="1"/>
      <w:marLeft w:val="0"/>
      <w:marRight w:val="0"/>
      <w:marTop w:val="0"/>
      <w:marBottom w:val="0"/>
      <w:divBdr>
        <w:top w:val="none" w:sz="0" w:space="0" w:color="auto"/>
        <w:left w:val="none" w:sz="0" w:space="0" w:color="auto"/>
        <w:bottom w:val="none" w:sz="0" w:space="0" w:color="auto"/>
        <w:right w:val="none" w:sz="0" w:space="0" w:color="auto"/>
      </w:divBdr>
    </w:div>
    <w:div w:id="128708074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692611594">
      <w:bodyDiv w:val="1"/>
      <w:marLeft w:val="0"/>
      <w:marRight w:val="0"/>
      <w:marTop w:val="0"/>
      <w:marBottom w:val="0"/>
      <w:divBdr>
        <w:top w:val="none" w:sz="0" w:space="0" w:color="auto"/>
        <w:left w:val="none" w:sz="0" w:space="0" w:color="auto"/>
        <w:bottom w:val="none" w:sz="0" w:space="0" w:color="auto"/>
        <w:right w:val="none" w:sz="0" w:space="0" w:color="auto"/>
      </w:divBdr>
      <w:divsChild>
        <w:div w:id="1488015736">
          <w:marLeft w:val="0"/>
          <w:marRight w:val="0"/>
          <w:marTop w:val="0"/>
          <w:marBottom w:val="0"/>
          <w:divBdr>
            <w:top w:val="none" w:sz="0" w:space="0" w:color="auto"/>
            <w:left w:val="none" w:sz="0" w:space="0" w:color="auto"/>
            <w:bottom w:val="none" w:sz="0" w:space="0" w:color="auto"/>
            <w:right w:val="none" w:sz="0" w:space="0" w:color="auto"/>
          </w:divBdr>
        </w:div>
        <w:div w:id="85811773">
          <w:marLeft w:val="0"/>
          <w:marRight w:val="0"/>
          <w:marTop w:val="0"/>
          <w:marBottom w:val="0"/>
          <w:divBdr>
            <w:top w:val="none" w:sz="0" w:space="0" w:color="auto"/>
            <w:left w:val="none" w:sz="0" w:space="0" w:color="auto"/>
            <w:bottom w:val="none" w:sz="0" w:space="0" w:color="auto"/>
            <w:right w:val="none" w:sz="0" w:space="0" w:color="auto"/>
          </w:divBdr>
        </w:div>
      </w:divsChild>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6259263">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par_ministriju/sabiedribas_lidzdaliba/diskusiju_dokument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87760" TargetMode="External"/><Relationship Id="rId4" Type="http://schemas.openxmlformats.org/officeDocument/2006/relationships/settings" Target="settings.xml"/><Relationship Id="rId9" Type="http://schemas.openxmlformats.org/officeDocument/2006/relationships/hyperlink" Target="https://likumi.lv/ta/id/28776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8921-CA87-47B2-B9F6-8B61F37A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8887</Words>
  <Characters>5067</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Baiba Akmentina-Cernecova</cp:lastModifiedBy>
  <cp:revision>24</cp:revision>
  <cp:lastPrinted>2019-10-02T06:21:00Z</cp:lastPrinted>
  <dcterms:created xsi:type="dcterms:W3CDTF">2019-01-08T15:20:00Z</dcterms:created>
  <dcterms:modified xsi:type="dcterms:W3CDTF">2019-10-02T06:31:00Z</dcterms:modified>
</cp:coreProperties>
</file>