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1052E" w14:textId="77777777" w:rsidR="000F232A" w:rsidRPr="00B4657F"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1D6E78" w:rsidRDefault="00B4657F" w:rsidP="00E46DA3">
      <w:pPr>
        <w:widowControl w:val="0"/>
        <w:autoSpaceDE w:val="0"/>
        <w:autoSpaceDN w:val="0"/>
        <w:adjustRightInd w:val="0"/>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E46DA3">
      <w:pPr>
        <w:widowControl w:val="0"/>
        <w:autoSpaceDE w:val="0"/>
        <w:autoSpaceDN w:val="0"/>
        <w:adjustRightInd w:val="0"/>
        <w:jc w:val="right"/>
        <w:rPr>
          <w:rFonts w:ascii="Arial" w:hAnsi="Arial" w:cs="Arial"/>
          <w:bCs/>
          <w:sz w:val="20"/>
          <w:szCs w:val="20"/>
        </w:rPr>
      </w:pPr>
      <w:r w:rsidRPr="001D6E78">
        <w:rPr>
          <w:rFonts w:ascii="Arial" w:hAnsi="Arial" w:cs="Arial"/>
          <w:bCs/>
          <w:sz w:val="20"/>
          <w:szCs w:val="20"/>
        </w:rPr>
        <w:t>Liepājas pilsētas domes Iepirkumu komisijas</w:t>
      </w:r>
    </w:p>
    <w:p w14:paraId="17616375" w14:textId="6A04533C" w:rsidR="00B4657F" w:rsidRPr="00B4657F" w:rsidRDefault="00B4657F" w:rsidP="00E46DA3">
      <w:pPr>
        <w:widowControl w:val="0"/>
        <w:autoSpaceDE w:val="0"/>
        <w:autoSpaceDN w:val="0"/>
        <w:adjustRightInd w:val="0"/>
        <w:jc w:val="right"/>
        <w:rPr>
          <w:rFonts w:ascii="Arial" w:hAnsi="Arial" w:cs="Arial"/>
          <w:bCs/>
          <w:sz w:val="20"/>
          <w:szCs w:val="20"/>
        </w:rPr>
      </w:pPr>
      <w:r w:rsidRPr="001D6E78">
        <w:rPr>
          <w:rFonts w:ascii="Arial" w:hAnsi="Arial" w:cs="Arial"/>
          <w:bCs/>
          <w:sz w:val="20"/>
          <w:szCs w:val="20"/>
        </w:rPr>
        <w:t xml:space="preserve"> 201</w:t>
      </w:r>
      <w:r w:rsidR="002B4A91">
        <w:rPr>
          <w:rFonts w:ascii="Arial" w:hAnsi="Arial" w:cs="Arial"/>
          <w:bCs/>
          <w:sz w:val="20"/>
          <w:szCs w:val="20"/>
        </w:rPr>
        <w:t>9</w:t>
      </w:r>
      <w:r w:rsidRPr="001D6E78">
        <w:rPr>
          <w:rFonts w:ascii="Arial" w:hAnsi="Arial" w:cs="Arial"/>
          <w:bCs/>
          <w:sz w:val="20"/>
          <w:szCs w:val="20"/>
        </w:rPr>
        <w:t>.gada</w:t>
      </w:r>
      <w:r w:rsidR="00B379B5">
        <w:rPr>
          <w:rFonts w:ascii="Arial" w:hAnsi="Arial" w:cs="Arial"/>
          <w:bCs/>
          <w:sz w:val="20"/>
          <w:szCs w:val="20"/>
        </w:rPr>
        <w:t xml:space="preserve"> </w:t>
      </w:r>
      <w:r w:rsidR="00F04A0A">
        <w:rPr>
          <w:rFonts w:ascii="Arial" w:hAnsi="Arial" w:cs="Arial"/>
          <w:bCs/>
          <w:sz w:val="20"/>
          <w:szCs w:val="20"/>
        </w:rPr>
        <w:t>9</w:t>
      </w:r>
      <w:r w:rsidRPr="001D6E78">
        <w:rPr>
          <w:rFonts w:ascii="Arial" w:hAnsi="Arial" w:cs="Arial"/>
          <w:bCs/>
          <w:sz w:val="20"/>
          <w:szCs w:val="20"/>
        </w:rPr>
        <w:t>.</w:t>
      </w:r>
      <w:r w:rsidR="00F04A0A">
        <w:rPr>
          <w:rFonts w:ascii="Arial" w:hAnsi="Arial" w:cs="Arial"/>
          <w:bCs/>
          <w:sz w:val="20"/>
          <w:szCs w:val="20"/>
        </w:rPr>
        <w:t>oktobra</w:t>
      </w:r>
      <w:r w:rsidR="006922BF">
        <w:rPr>
          <w:rFonts w:ascii="Arial" w:hAnsi="Arial" w:cs="Arial"/>
          <w:bCs/>
          <w:sz w:val="20"/>
          <w:szCs w:val="20"/>
        </w:rPr>
        <w:t xml:space="preserve"> </w:t>
      </w:r>
      <w:r w:rsidRPr="001D6E78">
        <w:rPr>
          <w:rFonts w:ascii="Arial" w:hAnsi="Arial" w:cs="Arial"/>
          <w:bCs/>
          <w:sz w:val="20"/>
          <w:szCs w:val="20"/>
        </w:rPr>
        <w:t>sēdē, protokols Nr.</w:t>
      </w:r>
      <w:r w:rsidR="00994DED">
        <w:rPr>
          <w:rFonts w:ascii="Arial" w:hAnsi="Arial" w:cs="Arial"/>
          <w:bCs/>
          <w:sz w:val="20"/>
          <w:szCs w:val="20"/>
        </w:rPr>
        <w:t>2</w:t>
      </w:r>
      <w:r w:rsidRPr="00B4657F">
        <w:rPr>
          <w:rFonts w:ascii="Arial" w:hAnsi="Arial" w:cs="Arial"/>
          <w:bCs/>
          <w:sz w:val="20"/>
          <w:szCs w:val="20"/>
        </w:rPr>
        <w:t xml:space="preserve"> </w:t>
      </w:r>
    </w:p>
    <w:p w14:paraId="06F0F9F4" w14:textId="77777777" w:rsidR="00B4657F" w:rsidRDefault="00B4657F" w:rsidP="004E05BA">
      <w:pPr>
        <w:ind w:right="425"/>
        <w:jc w:val="both"/>
        <w:rPr>
          <w:rFonts w:ascii="Arial" w:hAnsi="Arial" w:cs="Arial"/>
          <w:b/>
          <w:sz w:val="20"/>
          <w:szCs w:val="20"/>
          <w:lang w:eastAsia="en-US"/>
        </w:rPr>
      </w:pPr>
    </w:p>
    <w:p w14:paraId="50ADC08F" w14:textId="77777777" w:rsidR="0070791A" w:rsidRDefault="0070791A" w:rsidP="004E05BA">
      <w:pPr>
        <w:ind w:right="425"/>
        <w:jc w:val="both"/>
        <w:rPr>
          <w:rFonts w:ascii="Arial" w:hAnsi="Arial" w:cs="Arial"/>
          <w:b/>
          <w:sz w:val="20"/>
          <w:szCs w:val="20"/>
          <w:lang w:eastAsia="en-US"/>
        </w:rPr>
      </w:pPr>
    </w:p>
    <w:p w14:paraId="6C6E80E3" w14:textId="77777777" w:rsidR="0070791A" w:rsidRDefault="0070791A" w:rsidP="004E05BA">
      <w:pPr>
        <w:ind w:right="425"/>
        <w:jc w:val="both"/>
        <w:rPr>
          <w:rFonts w:ascii="Arial" w:hAnsi="Arial" w:cs="Arial"/>
          <w:b/>
          <w:sz w:val="20"/>
          <w:szCs w:val="20"/>
          <w:lang w:eastAsia="en-US"/>
        </w:rPr>
      </w:pPr>
    </w:p>
    <w:p w14:paraId="2D350486" w14:textId="77777777" w:rsidR="0070791A" w:rsidRDefault="0070791A" w:rsidP="004E05BA">
      <w:pPr>
        <w:ind w:right="425"/>
        <w:jc w:val="both"/>
        <w:rPr>
          <w:rFonts w:ascii="Arial" w:hAnsi="Arial" w:cs="Arial"/>
          <w:b/>
          <w:sz w:val="20"/>
          <w:szCs w:val="20"/>
          <w:lang w:eastAsia="en-US"/>
        </w:rPr>
      </w:pPr>
    </w:p>
    <w:p w14:paraId="5E8A7A74" w14:textId="152A796B" w:rsidR="00B4657F" w:rsidRPr="00F04A0A" w:rsidRDefault="00B4657F" w:rsidP="00F04A0A">
      <w:pPr>
        <w:jc w:val="both"/>
        <w:rPr>
          <w:rFonts w:ascii="Arial" w:eastAsia="Arial" w:hAnsi="Arial" w:cs="Arial"/>
          <w:b/>
          <w:i/>
          <w:sz w:val="20"/>
          <w:szCs w:val="20"/>
        </w:rPr>
      </w:pPr>
      <w:r w:rsidRPr="00F04A0A">
        <w:rPr>
          <w:rFonts w:ascii="Arial" w:hAnsi="Arial" w:cs="Arial"/>
          <w:b/>
          <w:i/>
          <w:sz w:val="20"/>
          <w:szCs w:val="20"/>
          <w:lang w:eastAsia="en-US"/>
        </w:rPr>
        <w:t xml:space="preserve">Par </w:t>
      </w:r>
      <w:r w:rsidR="0056331F" w:rsidRPr="00F04A0A">
        <w:rPr>
          <w:rFonts w:ascii="Arial" w:hAnsi="Arial" w:cs="Arial"/>
          <w:b/>
          <w:i/>
          <w:sz w:val="20"/>
          <w:szCs w:val="20"/>
          <w:lang w:eastAsia="en-US"/>
        </w:rPr>
        <w:t>atklāta konkursa</w:t>
      </w:r>
      <w:r w:rsidRPr="00F04A0A">
        <w:rPr>
          <w:rFonts w:ascii="Arial" w:hAnsi="Arial" w:cs="Arial"/>
          <w:b/>
          <w:i/>
          <w:sz w:val="20"/>
          <w:szCs w:val="20"/>
          <w:lang w:eastAsia="en-US"/>
        </w:rPr>
        <w:t xml:space="preserve"> </w:t>
      </w:r>
      <w:r w:rsidR="00994DED" w:rsidRPr="00F04A0A">
        <w:rPr>
          <w:rFonts w:ascii="Arial" w:hAnsi="Arial" w:cs="Arial"/>
          <w:b/>
          <w:i/>
          <w:sz w:val="20"/>
          <w:szCs w:val="20"/>
          <w:lang w:eastAsia="en-US"/>
        </w:rPr>
        <w:t>“</w:t>
      </w:r>
      <w:r w:rsidR="00F04A0A" w:rsidRPr="00F04A0A">
        <w:rPr>
          <w:rFonts w:ascii="Arial" w:hAnsi="Arial" w:cs="Arial"/>
          <w:b/>
          <w:i/>
          <w:color w:val="000000"/>
          <w:sz w:val="20"/>
          <w:szCs w:val="20"/>
          <w:shd w:val="clear" w:color="auto" w:fill="FFFFFF"/>
        </w:rPr>
        <w:t>Pašvaldības iedzīvotāju informēšanas un iesaistes veicināšanas E-platformas izstrāde un uzturēšana</w:t>
      </w:r>
      <w:r w:rsidR="00994DED" w:rsidRPr="00F04A0A">
        <w:rPr>
          <w:rFonts w:ascii="Arial" w:eastAsia="Calibri" w:hAnsi="Arial" w:cs="Arial"/>
          <w:b/>
          <w:i/>
          <w:sz w:val="20"/>
          <w:szCs w:val="20"/>
          <w:lang w:eastAsia="en-US"/>
        </w:rPr>
        <w:t>”</w:t>
      </w:r>
      <w:r w:rsidR="00BE0445" w:rsidRPr="00F04A0A">
        <w:rPr>
          <w:rFonts w:ascii="Arial" w:eastAsia="Calibri" w:hAnsi="Arial" w:cs="Arial"/>
          <w:b/>
          <w:i/>
          <w:sz w:val="20"/>
          <w:szCs w:val="20"/>
          <w:lang w:eastAsia="en-US"/>
        </w:rPr>
        <w:t xml:space="preserve"> </w:t>
      </w:r>
      <w:r w:rsidRPr="00F04A0A">
        <w:rPr>
          <w:rFonts w:ascii="Arial" w:eastAsia="Calibri" w:hAnsi="Arial" w:cs="Arial"/>
          <w:b/>
          <w:bCs/>
          <w:i/>
          <w:sz w:val="20"/>
          <w:szCs w:val="20"/>
          <w:lang w:eastAsia="en-US"/>
        </w:rPr>
        <w:t>(LPP 201</w:t>
      </w:r>
      <w:r w:rsidR="00994DED" w:rsidRPr="00F04A0A">
        <w:rPr>
          <w:rFonts w:ascii="Arial" w:eastAsia="Calibri" w:hAnsi="Arial" w:cs="Arial"/>
          <w:b/>
          <w:bCs/>
          <w:i/>
          <w:sz w:val="20"/>
          <w:szCs w:val="20"/>
          <w:lang w:eastAsia="en-US"/>
        </w:rPr>
        <w:t>9</w:t>
      </w:r>
      <w:r w:rsidR="00537B5A" w:rsidRPr="00F04A0A">
        <w:rPr>
          <w:rFonts w:ascii="Arial" w:eastAsia="Calibri" w:hAnsi="Arial" w:cs="Arial"/>
          <w:b/>
          <w:bCs/>
          <w:i/>
          <w:sz w:val="20"/>
          <w:szCs w:val="20"/>
          <w:lang w:eastAsia="en-US"/>
        </w:rPr>
        <w:t>/</w:t>
      </w:r>
      <w:r w:rsidR="00F04A0A" w:rsidRPr="00F04A0A">
        <w:rPr>
          <w:rFonts w:ascii="Arial" w:eastAsia="Calibri" w:hAnsi="Arial" w:cs="Arial"/>
          <w:b/>
          <w:bCs/>
          <w:i/>
          <w:sz w:val="20"/>
          <w:szCs w:val="20"/>
          <w:lang w:eastAsia="en-US"/>
        </w:rPr>
        <w:t>102</w:t>
      </w:r>
      <w:r w:rsidRPr="00F04A0A">
        <w:rPr>
          <w:rFonts w:ascii="Arial" w:eastAsia="Calibri" w:hAnsi="Arial" w:cs="Arial"/>
          <w:b/>
          <w:bCs/>
          <w:i/>
          <w:sz w:val="20"/>
          <w:szCs w:val="20"/>
          <w:lang w:eastAsia="en-US"/>
        </w:rPr>
        <w:t xml:space="preserve">) </w:t>
      </w:r>
      <w:r w:rsidRPr="00F04A0A">
        <w:rPr>
          <w:rFonts w:ascii="Arial" w:hAnsi="Arial" w:cs="Arial"/>
          <w:b/>
          <w:i/>
          <w:sz w:val="20"/>
          <w:szCs w:val="20"/>
          <w:lang w:eastAsia="en-US"/>
        </w:rPr>
        <w:t xml:space="preserve">nolikuma </w:t>
      </w:r>
      <w:r w:rsidR="00F04A0A" w:rsidRPr="00F04A0A">
        <w:rPr>
          <w:rFonts w:ascii="Arial" w:hAnsi="Arial" w:cs="Arial"/>
          <w:b/>
          <w:i/>
          <w:sz w:val="20"/>
          <w:szCs w:val="20"/>
          <w:lang w:eastAsia="en-US"/>
        </w:rPr>
        <w:t>skaidrojumiem</w:t>
      </w:r>
      <w:r w:rsidR="00051DC2" w:rsidRPr="00F04A0A">
        <w:rPr>
          <w:rFonts w:ascii="Arial" w:hAnsi="Arial" w:cs="Arial"/>
          <w:b/>
          <w:i/>
          <w:sz w:val="20"/>
          <w:szCs w:val="20"/>
          <w:lang w:eastAsia="en-US"/>
        </w:rPr>
        <w:t>.</w:t>
      </w:r>
    </w:p>
    <w:p w14:paraId="1C6AC12D" w14:textId="77777777" w:rsidR="00FA7F76" w:rsidRPr="00B4657F" w:rsidRDefault="00FA7F76" w:rsidP="00032669">
      <w:pPr>
        <w:jc w:val="both"/>
        <w:rPr>
          <w:rFonts w:ascii="Arial" w:eastAsia="Calibri" w:hAnsi="Arial" w:cs="Arial"/>
          <w:bCs/>
          <w:sz w:val="20"/>
          <w:szCs w:val="20"/>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080"/>
      </w:tblGrid>
      <w:tr w:rsidR="00B4657F" w:rsidRPr="00F465E9" w14:paraId="739E0F99" w14:textId="77777777" w:rsidTr="00E46DA3">
        <w:tc>
          <w:tcPr>
            <w:tcW w:w="9776" w:type="dxa"/>
            <w:gridSpan w:val="2"/>
            <w:shd w:val="clear" w:color="auto" w:fill="CCFFCC"/>
          </w:tcPr>
          <w:p w14:paraId="0188AE94" w14:textId="77777777" w:rsidR="00B4657F" w:rsidRPr="00DC52B1" w:rsidRDefault="00B4657F" w:rsidP="00032669">
            <w:pPr>
              <w:autoSpaceDE w:val="0"/>
              <w:autoSpaceDN w:val="0"/>
              <w:adjustRightInd w:val="0"/>
              <w:jc w:val="both"/>
              <w:rPr>
                <w:rFonts w:ascii="Arial" w:hAnsi="Arial" w:cs="Arial"/>
                <w:sz w:val="12"/>
                <w:szCs w:val="12"/>
                <w:lang w:eastAsia="en-US"/>
              </w:rPr>
            </w:pPr>
            <w:bookmarkStart w:id="0" w:name="_Hlk500400723"/>
            <w:bookmarkStart w:id="1" w:name="_Hlk507760749"/>
            <w:bookmarkStart w:id="2" w:name="_Hlk507761961"/>
            <w:bookmarkStart w:id="3" w:name="_Hlk535416920"/>
          </w:p>
        </w:tc>
      </w:tr>
      <w:tr w:rsidR="00B4657F" w:rsidRPr="00F465E9" w14:paraId="28C51DD7" w14:textId="77777777" w:rsidTr="00E46DA3">
        <w:trPr>
          <w:trHeight w:val="321"/>
        </w:trPr>
        <w:tc>
          <w:tcPr>
            <w:tcW w:w="1696" w:type="dxa"/>
          </w:tcPr>
          <w:p w14:paraId="11C94464" w14:textId="1719999A" w:rsidR="005C0D2D" w:rsidRPr="005C0D2D" w:rsidRDefault="00F04A0A" w:rsidP="00994DED">
            <w:pPr>
              <w:spacing w:before="40" w:after="40"/>
              <w:rPr>
                <w:rFonts w:ascii="Arial" w:hAnsi="Arial" w:cs="Arial"/>
                <w:b/>
                <w:bCs/>
                <w:sz w:val="20"/>
                <w:szCs w:val="20"/>
                <w:lang w:eastAsia="en-US"/>
              </w:rPr>
            </w:pPr>
            <w:bookmarkStart w:id="4" w:name="_Hlk503429744"/>
            <w:r>
              <w:rPr>
                <w:rFonts w:ascii="Arial" w:hAnsi="Arial" w:cs="Arial"/>
                <w:b/>
                <w:bCs/>
                <w:sz w:val="20"/>
                <w:szCs w:val="20"/>
                <w:lang w:eastAsia="en-US"/>
              </w:rPr>
              <w:t>1.jautājums</w:t>
            </w:r>
          </w:p>
        </w:tc>
        <w:tc>
          <w:tcPr>
            <w:tcW w:w="8080" w:type="dxa"/>
          </w:tcPr>
          <w:p w14:paraId="10D45BD6" w14:textId="77777777" w:rsidR="005C0D2D" w:rsidRDefault="00F04A0A" w:rsidP="00851FA3">
            <w:pPr>
              <w:pStyle w:val="Bezatstarpm"/>
              <w:jc w:val="both"/>
              <w:rPr>
                <w:rFonts w:ascii="Arial" w:eastAsia="Calibri" w:hAnsi="Arial" w:cs="Arial"/>
                <w:bCs/>
                <w:sz w:val="20"/>
                <w:szCs w:val="20"/>
                <w:lang w:eastAsia="en-US"/>
              </w:rPr>
            </w:pPr>
            <w:r>
              <w:rPr>
                <w:rFonts w:ascii="Arial" w:hAnsi="Arial" w:cs="Arial"/>
                <w:sz w:val="20"/>
                <w:szCs w:val="20"/>
                <w:lang w:eastAsia="en-US"/>
              </w:rPr>
              <w:t xml:space="preserve">Jau iepriekš gandrīz identisks iepirkums tika izsludināts 2019.gada 25.jūlijā, kas Liepājas pilsētas pašvaldība izsludināja atklātu konkursu </w:t>
            </w:r>
            <w:r w:rsidRPr="00F04A0A">
              <w:rPr>
                <w:rFonts w:ascii="Arial" w:hAnsi="Arial" w:cs="Arial"/>
                <w:sz w:val="20"/>
                <w:szCs w:val="20"/>
                <w:lang w:eastAsia="en-US"/>
              </w:rPr>
              <w:t>“</w:t>
            </w:r>
            <w:r w:rsidRPr="00F04A0A">
              <w:rPr>
                <w:rFonts w:ascii="Arial" w:hAnsi="Arial" w:cs="Arial"/>
                <w:color w:val="000000"/>
                <w:sz w:val="20"/>
                <w:szCs w:val="20"/>
                <w:shd w:val="clear" w:color="auto" w:fill="FFFFFF"/>
              </w:rPr>
              <w:t>Pašvaldības iedzīvotāju informēšanas un iesaistes veicināšanas E-platformas izstrāde un uzturēšana</w:t>
            </w:r>
            <w:r w:rsidRPr="00F04A0A">
              <w:rPr>
                <w:rFonts w:ascii="Arial" w:eastAsia="Calibri" w:hAnsi="Arial" w:cs="Arial"/>
                <w:sz w:val="20"/>
                <w:szCs w:val="20"/>
                <w:lang w:eastAsia="en-US"/>
              </w:rPr>
              <w:t>”</w:t>
            </w:r>
            <w:r>
              <w:rPr>
                <w:rFonts w:ascii="Arial" w:eastAsia="Calibri" w:hAnsi="Arial" w:cs="Arial"/>
                <w:sz w:val="20"/>
                <w:szCs w:val="20"/>
                <w:lang w:eastAsia="en-US"/>
              </w:rPr>
              <w:t xml:space="preserve">, id.nr. </w:t>
            </w:r>
            <w:r w:rsidRPr="00F04A0A">
              <w:rPr>
                <w:rFonts w:ascii="Arial" w:eastAsia="Calibri" w:hAnsi="Arial" w:cs="Arial"/>
                <w:bCs/>
                <w:sz w:val="20"/>
                <w:szCs w:val="20"/>
                <w:lang w:eastAsia="en-US"/>
              </w:rPr>
              <w:t>LPP 2019/</w:t>
            </w:r>
            <w:r>
              <w:rPr>
                <w:rFonts w:ascii="Arial" w:eastAsia="Calibri" w:hAnsi="Arial" w:cs="Arial"/>
                <w:bCs/>
                <w:sz w:val="20"/>
                <w:szCs w:val="20"/>
                <w:lang w:eastAsia="en-US"/>
              </w:rPr>
              <w:t>68, turpmāk tekstā – iepirkums.</w:t>
            </w:r>
          </w:p>
          <w:p w14:paraId="6CD458C7" w14:textId="77777777" w:rsidR="00F04A0A" w:rsidRDefault="00F04A0A" w:rsidP="00851FA3">
            <w:pPr>
              <w:pStyle w:val="Bezatstarpm"/>
              <w:jc w:val="both"/>
              <w:rPr>
                <w:rFonts w:ascii="Arial" w:eastAsia="Calibri" w:hAnsi="Arial" w:cs="Arial"/>
                <w:bCs/>
                <w:sz w:val="20"/>
                <w:szCs w:val="20"/>
                <w:lang w:eastAsia="en-US"/>
              </w:rPr>
            </w:pPr>
            <w:r>
              <w:rPr>
                <w:rFonts w:ascii="Arial" w:eastAsia="Calibri" w:hAnsi="Arial" w:cs="Arial"/>
                <w:bCs/>
                <w:sz w:val="20"/>
                <w:szCs w:val="20"/>
                <w:lang w:eastAsia="en-US"/>
              </w:rPr>
              <w:t>Salīdzinot abus iepirkumus ir secināms, ka pasūtītājs iepirkuma priekšmeta aprakstos papildus ir pievienojis norādes uz bezskaidras naudas norēķinu nodrošināšanu, nodrošinot maksas saņemšanu un uzskaites pakalpojumu.</w:t>
            </w:r>
          </w:p>
          <w:p w14:paraId="22102148" w14:textId="77777777" w:rsidR="00F04A0A" w:rsidRDefault="00F04A0A" w:rsidP="00851FA3">
            <w:pPr>
              <w:pStyle w:val="Bezatstarpm"/>
              <w:jc w:val="both"/>
              <w:rPr>
                <w:rFonts w:ascii="Arial" w:eastAsia="Calibri" w:hAnsi="Arial" w:cs="Arial"/>
                <w:bCs/>
                <w:sz w:val="20"/>
                <w:szCs w:val="20"/>
                <w:lang w:eastAsia="en-US"/>
              </w:rPr>
            </w:pPr>
            <w:r>
              <w:rPr>
                <w:rFonts w:ascii="Arial" w:eastAsia="Calibri" w:hAnsi="Arial" w:cs="Arial"/>
                <w:bCs/>
                <w:sz w:val="20"/>
                <w:szCs w:val="20"/>
                <w:lang w:eastAsia="en-US"/>
              </w:rPr>
              <w:t>Taču pēc būtības tehniskā specifikācijā nav noteiktas nekādas papildus prasības attiecībā uz maksas saņemšanu un uzskaites pakalpojumu saņemšanu.</w:t>
            </w:r>
          </w:p>
          <w:p w14:paraId="5BD8D736" w14:textId="0FC4FBED" w:rsidR="00F04A0A" w:rsidRPr="00851FA3" w:rsidRDefault="00F04A0A" w:rsidP="00851FA3">
            <w:pPr>
              <w:pStyle w:val="Bezatstarpm"/>
              <w:jc w:val="both"/>
              <w:rPr>
                <w:rFonts w:ascii="Arial" w:hAnsi="Arial" w:cs="Arial"/>
                <w:sz w:val="20"/>
                <w:szCs w:val="20"/>
                <w:lang w:eastAsia="en-US"/>
              </w:rPr>
            </w:pPr>
            <w:r>
              <w:rPr>
                <w:rFonts w:ascii="Arial" w:eastAsia="Calibri" w:hAnsi="Arial" w:cs="Arial"/>
                <w:bCs/>
                <w:sz w:val="20"/>
                <w:szCs w:val="20"/>
                <w:lang w:eastAsia="en-US"/>
              </w:rPr>
              <w:t>Vai esam pareizi sapratuši, ka šie ir tikai formāli labojumi, kas pēc būtības nemaina sākotnējā iepirkuma priekšmetu un tam izvirzītās prasības? Ja ir kādas izmaiņas attiecībā tieši uz tehnisko izpildījumu, lūdzam norādiet konkrēti kādas.</w:t>
            </w:r>
          </w:p>
        </w:tc>
      </w:tr>
      <w:tr w:rsidR="00F04A0A" w:rsidRPr="00F465E9" w14:paraId="72A541EE" w14:textId="77777777" w:rsidTr="00E46DA3">
        <w:trPr>
          <w:trHeight w:val="321"/>
        </w:trPr>
        <w:tc>
          <w:tcPr>
            <w:tcW w:w="1696" w:type="dxa"/>
          </w:tcPr>
          <w:p w14:paraId="07CD9467" w14:textId="5FD99262" w:rsidR="00F04A0A" w:rsidRDefault="00F04A0A" w:rsidP="00994DED">
            <w:pPr>
              <w:spacing w:before="40" w:after="40"/>
              <w:rPr>
                <w:rFonts w:ascii="Arial" w:hAnsi="Arial" w:cs="Arial"/>
                <w:b/>
                <w:bCs/>
                <w:sz w:val="20"/>
                <w:szCs w:val="20"/>
                <w:lang w:eastAsia="en-US"/>
              </w:rPr>
            </w:pPr>
            <w:r>
              <w:rPr>
                <w:rFonts w:ascii="Arial" w:hAnsi="Arial" w:cs="Arial"/>
                <w:b/>
                <w:bCs/>
                <w:sz w:val="20"/>
                <w:szCs w:val="20"/>
                <w:lang w:eastAsia="en-US"/>
              </w:rPr>
              <w:t>Skaidrojums</w:t>
            </w:r>
          </w:p>
        </w:tc>
        <w:tc>
          <w:tcPr>
            <w:tcW w:w="8080" w:type="dxa"/>
          </w:tcPr>
          <w:p w14:paraId="74C2DD00" w14:textId="2A4BACD5" w:rsidR="00016821" w:rsidRPr="00016821" w:rsidRDefault="00E46DA3" w:rsidP="00320E34">
            <w:pPr>
              <w:pStyle w:val="Bezatstarpm"/>
              <w:jc w:val="both"/>
              <w:rPr>
                <w:rFonts w:ascii="Arial" w:hAnsi="Arial" w:cs="Arial"/>
                <w:sz w:val="20"/>
                <w:szCs w:val="20"/>
                <w:lang w:eastAsia="en-US"/>
              </w:rPr>
            </w:pPr>
            <w:r>
              <w:rPr>
                <w:rFonts w:ascii="Arial" w:hAnsi="Arial" w:cs="Arial"/>
                <w:sz w:val="20"/>
                <w:szCs w:val="20"/>
                <w:lang w:eastAsia="en-US"/>
              </w:rPr>
              <w:t>Tehniskajās specifikācijās nav aprakstīts</w:t>
            </w:r>
            <w:r w:rsidR="00007EA9">
              <w:rPr>
                <w:rFonts w:ascii="Arial" w:hAnsi="Arial" w:cs="Arial"/>
                <w:sz w:val="20"/>
                <w:szCs w:val="20"/>
                <w:lang w:eastAsia="en-US"/>
              </w:rPr>
              <w:t xml:space="preserve"> konkrēts</w:t>
            </w:r>
            <w:r>
              <w:rPr>
                <w:rFonts w:ascii="Arial" w:hAnsi="Arial" w:cs="Arial"/>
                <w:sz w:val="20"/>
                <w:szCs w:val="20"/>
                <w:lang w:eastAsia="en-US"/>
              </w:rPr>
              <w:t xml:space="preserve"> tehniskais izpildījums, kā arī attiecībā uz tehnisko izpildījumu prasības nav noteiktas.</w:t>
            </w:r>
            <w:r w:rsidR="00016821">
              <w:rPr>
                <w:rFonts w:ascii="Arial" w:hAnsi="Arial" w:cs="Arial"/>
                <w:sz w:val="20"/>
                <w:szCs w:val="20"/>
                <w:lang w:eastAsia="en-US"/>
              </w:rPr>
              <w:t xml:space="preserve"> Tehniskais izpildījums ir Izpildītāja </w:t>
            </w:r>
            <w:r w:rsidR="00320E34">
              <w:rPr>
                <w:rFonts w:ascii="Arial" w:hAnsi="Arial" w:cs="Arial"/>
                <w:sz w:val="20"/>
                <w:szCs w:val="20"/>
                <w:lang w:eastAsia="en-US"/>
              </w:rPr>
              <w:t>piedāvātais risinājums</w:t>
            </w:r>
            <w:bookmarkStart w:id="5" w:name="_GoBack"/>
            <w:bookmarkEnd w:id="5"/>
            <w:r w:rsidR="00016821">
              <w:rPr>
                <w:rFonts w:ascii="Arial" w:hAnsi="Arial" w:cs="Arial"/>
                <w:sz w:val="20"/>
                <w:szCs w:val="20"/>
                <w:lang w:eastAsia="en-US"/>
              </w:rPr>
              <w:t>, lai izpildītu tehniskajās specifikācijās izvirzītās prasības</w:t>
            </w:r>
            <w:r w:rsidR="00007EA9">
              <w:rPr>
                <w:rFonts w:ascii="Arial" w:hAnsi="Arial" w:cs="Arial"/>
                <w:sz w:val="20"/>
                <w:szCs w:val="20"/>
                <w:lang w:eastAsia="en-US"/>
              </w:rPr>
              <w:t xml:space="preserve"> un vajadzības</w:t>
            </w:r>
            <w:r w:rsidR="00016821">
              <w:rPr>
                <w:rFonts w:ascii="Arial" w:hAnsi="Arial" w:cs="Arial"/>
                <w:sz w:val="20"/>
                <w:szCs w:val="20"/>
                <w:lang w:eastAsia="en-US"/>
              </w:rPr>
              <w:t>.</w:t>
            </w:r>
          </w:p>
        </w:tc>
      </w:tr>
      <w:tr w:rsidR="00B4657F" w:rsidRPr="00F465E9" w14:paraId="44E466E3" w14:textId="77777777" w:rsidTr="00E46DA3">
        <w:tc>
          <w:tcPr>
            <w:tcW w:w="9776" w:type="dxa"/>
            <w:gridSpan w:val="2"/>
            <w:shd w:val="clear" w:color="auto" w:fill="CCFFCC"/>
          </w:tcPr>
          <w:p w14:paraId="7EACC3E7" w14:textId="2F5B3AC8" w:rsidR="00B4657F" w:rsidRPr="00DC52B1" w:rsidRDefault="00B4657F" w:rsidP="00032669">
            <w:pPr>
              <w:tabs>
                <w:tab w:val="left" w:pos="2552"/>
              </w:tabs>
              <w:suppressAutoHyphens/>
              <w:autoSpaceDE w:val="0"/>
              <w:jc w:val="both"/>
              <w:rPr>
                <w:rFonts w:ascii="Arial" w:hAnsi="Arial" w:cs="Arial"/>
                <w:b/>
                <w:bCs/>
                <w:sz w:val="12"/>
                <w:szCs w:val="12"/>
                <w:lang w:eastAsia="ar-SA"/>
              </w:rPr>
            </w:pPr>
          </w:p>
        </w:tc>
      </w:tr>
      <w:bookmarkEnd w:id="0"/>
      <w:bookmarkEnd w:id="1"/>
      <w:bookmarkEnd w:id="2"/>
      <w:bookmarkEnd w:id="3"/>
      <w:bookmarkEnd w:id="4"/>
      <w:tr w:rsidR="00F04A0A" w:rsidRPr="00F465E9" w14:paraId="187E4B2D" w14:textId="77777777" w:rsidTr="00E46DA3">
        <w:trPr>
          <w:trHeight w:val="321"/>
        </w:trPr>
        <w:tc>
          <w:tcPr>
            <w:tcW w:w="1696" w:type="dxa"/>
          </w:tcPr>
          <w:p w14:paraId="18275D3D" w14:textId="785B0C37" w:rsidR="00F04A0A" w:rsidRPr="005C0D2D" w:rsidRDefault="00F04A0A" w:rsidP="000F1784">
            <w:pPr>
              <w:spacing w:before="40" w:after="40"/>
              <w:rPr>
                <w:rFonts w:ascii="Arial" w:hAnsi="Arial" w:cs="Arial"/>
                <w:b/>
                <w:bCs/>
                <w:sz w:val="20"/>
                <w:szCs w:val="20"/>
                <w:lang w:eastAsia="en-US"/>
              </w:rPr>
            </w:pPr>
            <w:r>
              <w:rPr>
                <w:rFonts w:ascii="Arial" w:hAnsi="Arial" w:cs="Arial"/>
                <w:b/>
                <w:bCs/>
                <w:sz w:val="20"/>
                <w:szCs w:val="20"/>
                <w:lang w:eastAsia="en-US"/>
              </w:rPr>
              <w:t>2.jautājums</w:t>
            </w:r>
          </w:p>
        </w:tc>
        <w:tc>
          <w:tcPr>
            <w:tcW w:w="8080" w:type="dxa"/>
          </w:tcPr>
          <w:p w14:paraId="1B48F3C1" w14:textId="77777777" w:rsidR="00F04A0A" w:rsidRDefault="00F04A0A" w:rsidP="000F1784">
            <w:pPr>
              <w:pStyle w:val="Bezatstarpm"/>
              <w:jc w:val="both"/>
              <w:rPr>
                <w:rFonts w:ascii="Arial" w:hAnsi="Arial" w:cs="Arial"/>
                <w:sz w:val="20"/>
                <w:szCs w:val="20"/>
                <w:lang w:eastAsia="en-US"/>
              </w:rPr>
            </w:pPr>
            <w:r>
              <w:rPr>
                <w:rFonts w:ascii="Arial" w:hAnsi="Arial" w:cs="Arial"/>
                <w:sz w:val="20"/>
                <w:szCs w:val="20"/>
                <w:lang w:eastAsia="en-US"/>
              </w:rPr>
              <w:t>Jau iepriekš rakstījām, ka iepirkuma nolikuma 12.pielikumā iepriekš bija noteikts, ka līguma ietvaros iespējams, būs nepieciešama integrācija ar konkrētām Liepājas pilsētas pašvaldības sistēmām, kuras izstrādājis SIA “ZZ DATS”.</w:t>
            </w:r>
          </w:p>
          <w:p w14:paraId="10ABE645" w14:textId="77777777" w:rsidR="00F04A0A" w:rsidRDefault="00F04A0A" w:rsidP="000F1784">
            <w:pPr>
              <w:pStyle w:val="Bezatstarpm"/>
              <w:jc w:val="both"/>
              <w:rPr>
                <w:rFonts w:ascii="Arial" w:hAnsi="Arial" w:cs="Arial"/>
                <w:sz w:val="20"/>
                <w:szCs w:val="20"/>
                <w:lang w:eastAsia="en-US"/>
              </w:rPr>
            </w:pPr>
            <w:r>
              <w:rPr>
                <w:rFonts w:ascii="Arial" w:hAnsi="Arial" w:cs="Arial"/>
                <w:sz w:val="20"/>
                <w:szCs w:val="20"/>
                <w:lang w:eastAsia="en-US"/>
              </w:rPr>
              <w:t>Savukārt jaunajā iepirkumā 12.pielikumā ir savādāk norādīts, ka šāda integrācija nepieciešama, ja tas nepieciešams risinājuma funkcionalitātes nodrošinājumam un esošā integrācija nenodrošina visu vajadzīgo datu apmaiņu.</w:t>
            </w:r>
          </w:p>
          <w:p w14:paraId="39309985" w14:textId="285151DA" w:rsidR="00F04A0A" w:rsidRPr="00851FA3" w:rsidRDefault="00F04A0A" w:rsidP="000F1784">
            <w:pPr>
              <w:pStyle w:val="Bezatstarpm"/>
              <w:jc w:val="both"/>
              <w:rPr>
                <w:rFonts w:ascii="Arial" w:hAnsi="Arial" w:cs="Arial"/>
                <w:sz w:val="20"/>
                <w:szCs w:val="20"/>
                <w:lang w:eastAsia="en-US"/>
              </w:rPr>
            </w:pPr>
            <w:r>
              <w:rPr>
                <w:rFonts w:ascii="Arial" w:hAnsi="Arial" w:cs="Arial"/>
                <w:sz w:val="20"/>
                <w:szCs w:val="20"/>
                <w:lang w:eastAsia="en-US"/>
              </w:rPr>
              <w:t>Līdz ar to jebkurā gadījumā, lai izvērtētu iespējamos integrācijas risinājumus, to darbietilpību un līdz ar to paredzamās izmaksas, kas jāiekļauj piedāvājuma cenā, ir nepieciešams saņemt SIA “ZZ DATS” minēto sistēmu programmatūru, pieejas un programmatūras kodus, sistēmu arhitektūras aprakstus, sistēmas programmatūras dokumentāciju.</w:t>
            </w:r>
          </w:p>
        </w:tc>
      </w:tr>
      <w:tr w:rsidR="00F04A0A" w:rsidRPr="00F465E9" w14:paraId="19D91CB8" w14:textId="77777777" w:rsidTr="00E46DA3">
        <w:trPr>
          <w:trHeight w:val="321"/>
        </w:trPr>
        <w:tc>
          <w:tcPr>
            <w:tcW w:w="1696" w:type="dxa"/>
          </w:tcPr>
          <w:p w14:paraId="4016B83E" w14:textId="2DADAA00" w:rsidR="00F04A0A" w:rsidRDefault="00F04A0A" w:rsidP="000F1784">
            <w:pPr>
              <w:spacing w:before="40" w:after="40"/>
              <w:rPr>
                <w:rFonts w:ascii="Arial" w:hAnsi="Arial" w:cs="Arial"/>
                <w:b/>
                <w:bCs/>
                <w:sz w:val="20"/>
                <w:szCs w:val="20"/>
                <w:lang w:eastAsia="en-US"/>
              </w:rPr>
            </w:pPr>
            <w:r>
              <w:rPr>
                <w:rFonts w:ascii="Arial" w:hAnsi="Arial" w:cs="Arial"/>
                <w:b/>
                <w:bCs/>
                <w:sz w:val="20"/>
                <w:szCs w:val="20"/>
                <w:lang w:eastAsia="en-US"/>
              </w:rPr>
              <w:t>Skaidrojums</w:t>
            </w:r>
          </w:p>
        </w:tc>
        <w:tc>
          <w:tcPr>
            <w:tcW w:w="8080" w:type="dxa"/>
          </w:tcPr>
          <w:p w14:paraId="42A6F385" w14:textId="739AD43A" w:rsidR="00F04A0A" w:rsidRPr="00851FA3" w:rsidRDefault="00213A8E" w:rsidP="002536FB">
            <w:pPr>
              <w:pStyle w:val="Bezatstarpm"/>
              <w:jc w:val="both"/>
              <w:rPr>
                <w:rFonts w:ascii="Arial" w:hAnsi="Arial" w:cs="Arial"/>
                <w:sz w:val="20"/>
                <w:szCs w:val="20"/>
                <w:lang w:eastAsia="en-US"/>
              </w:rPr>
            </w:pPr>
            <w:r>
              <w:rPr>
                <w:rFonts w:ascii="Arial" w:hAnsi="Arial" w:cs="Arial"/>
                <w:sz w:val="20"/>
                <w:szCs w:val="20"/>
                <w:lang w:eastAsia="en-US"/>
              </w:rPr>
              <w:t xml:space="preserve">Atsevišķos gadījumos </w:t>
            </w:r>
            <w:r w:rsidR="00AF793E">
              <w:rPr>
                <w:rFonts w:ascii="Arial" w:hAnsi="Arial" w:cs="Arial"/>
                <w:sz w:val="20"/>
                <w:szCs w:val="20"/>
                <w:lang w:eastAsia="en-US"/>
              </w:rPr>
              <w:t>Pasūtītājam</w:t>
            </w:r>
            <w:r w:rsidR="00680A3D">
              <w:rPr>
                <w:rFonts w:ascii="Arial" w:hAnsi="Arial" w:cs="Arial"/>
                <w:sz w:val="20"/>
                <w:szCs w:val="20"/>
                <w:lang w:eastAsia="en-US"/>
              </w:rPr>
              <w:t xml:space="preserve"> tā funkciju izpildes pilnvērtīgai nodrošināšanai </w:t>
            </w:r>
            <w:r w:rsidR="00AF793E">
              <w:rPr>
                <w:rFonts w:ascii="Arial" w:hAnsi="Arial" w:cs="Arial"/>
                <w:sz w:val="20"/>
                <w:szCs w:val="20"/>
                <w:lang w:eastAsia="en-US"/>
              </w:rPr>
              <w:t>ir</w:t>
            </w:r>
            <w:r w:rsidR="00680A3D">
              <w:rPr>
                <w:rFonts w:ascii="Arial" w:hAnsi="Arial" w:cs="Arial"/>
                <w:sz w:val="20"/>
                <w:szCs w:val="20"/>
                <w:lang w:eastAsia="en-US"/>
              </w:rPr>
              <w:t xml:space="preserve"> piešķirtas</w:t>
            </w:r>
            <w:r w:rsidR="00AF793E">
              <w:rPr>
                <w:rFonts w:ascii="Arial" w:hAnsi="Arial" w:cs="Arial"/>
                <w:sz w:val="20"/>
                <w:szCs w:val="20"/>
                <w:lang w:eastAsia="en-US"/>
              </w:rPr>
              <w:t xml:space="preserve"> </w:t>
            </w:r>
            <w:r w:rsidR="00B72B7F">
              <w:rPr>
                <w:rFonts w:ascii="Arial" w:hAnsi="Arial" w:cs="Arial"/>
                <w:sz w:val="20"/>
                <w:szCs w:val="20"/>
                <w:lang w:eastAsia="en-US"/>
              </w:rPr>
              <w:t>informācijas sistēmu</w:t>
            </w:r>
            <w:r w:rsidR="00AF793E">
              <w:rPr>
                <w:rFonts w:ascii="Arial" w:hAnsi="Arial" w:cs="Arial"/>
                <w:sz w:val="20"/>
                <w:szCs w:val="20"/>
                <w:lang w:eastAsia="en-US"/>
              </w:rPr>
              <w:t xml:space="preserve"> lietošanas tiesības</w:t>
            </w:r>
            <w:r w:rsidR="002536FB">
              <w:rPr>
                <w:rFonts w:ascii="Arial" w:hAnsi="Arial" w:cs="Arial"/>
                <w:sz w:val="20"/>
                <w:szCs w:val="20"/>
                <w:lang w:eastAsia="en-US"/>
              </w:rPr>
              <w:t>, turklāt</w:t>
            </w:r>
            <w:r>
              <w:rPr>
                <w:rFonts w:ascii="Arial" w:hAnsi="Arial" w:cs="Arial"/>
                <w:sz w:val="20"/>
                <w:szCs w:val="20"/>
                <w:lang w:eastAsia="en-US"/>
              </w:rPr>
              <w:t xml:space="preserve"> Pasūtītājs</w:t>
            </w:r>
            <w:r w:rsidR="00B72B7F">
              <w:rPr>
                <w:rFonts w:ascii="Arial" w:hAnsi="Arial" w:cs="Arial"/>
                <w:sz w:val="20"/>
                <w:szCs w:val="20"/>
                <w:lang w:eastAsia="en-US"/>
              </w:rPr>
              <w:t xml:space="preserve"> nav</w:t>
            </w:r>
            <w:r w:rsidR="001B0A4D">
              <w:rPr>
                <w:rFonts w:ascii="Arial" w:hAnsi="Arial" w:cs="Arial"/>
                <w:sz w:val="20"/>
                <w:szCs w:val="20"/>
                <w:lang w:eastAsia="en-US"/>
              </w:rPr>
              <w:t xml:space="preserve"> </w:t>
            </w:r>
            <w:r w:rsidR="00B72B7F">
              <w:rPr>
                <w:rFonts w:ascii="Arial" w:hAnsi="Arial" w:cs="Arial"/>
                <w:sz w:val="20"/>
                <w:szCs w:val="20"/>
                <w:lang w:eastAsia="en-US"/>
              </w:rPr>
              <w:t xml:space="preserve"> informācijas sistēmu</w:t>
            </w:r>
            <w:r w:rsidR="00B72B7F" w:rsidRPr="00B72B7F">
              <w:rPr>
                <w:rFonts w:ascii="Arial" w:hAnsi="Arial" w:cs="Arial"/>
                <w:sz w:val="20"/>
                <w:szCs w:val="20"/>
                <w:lang w:eastAsia="en-US"/>
              </w:rPr>
              <w:t xml:space="preserve"> pārzinis</w:t>
            </w:r>
            <w:r w:rsidR="00B72B7F">
              <w:rPr>
                <w:rFonts w:ascii="Arial" w:hAnsi="Arial" w:cs="Arial"/>
                <w:sz w:val="20"/>
                <w:szCs w:val="20"/>
                <w:lang w:eastAsia="en-US"/>
              </w:rPr>
              <w:t xml:space="preserve"> vai turētājs, proti, </w:t>
            </w:r>
            <w:r>
              <w:rPr>
                <w:rFonts w:ascii="Arial" w:hAnsi="Arial" w:cs="Arial"/>
                <w:sz w:val="20"/>
                <w:szCs w:val="20"/>
                <w:lang w:eastAsia="en-US"/>
              </w:rPr>
              <w:t>p</w:t>
            </w:r>
            <w:r w:rsidR="00B72B7F">
              <w:rPr>
                <w:rFonts w:ascii="Arial" w:hAnsi="Arial" w:cs="Arial"/>
                <w:sz w:val="20"/>
                <w:szCs w:val="20"/>
                <w:lang w:eastAsia="en-US"/>
              </w:rPr>
              <w:t>asūtītājam</w:t>
            </w:r>
            <w:r w:rsidR="00680A3D">
              <w:rPr>
                <w:rFonts w:ascii="Arial" w:hAnsi="Arial" w:cs="Arial"/>
                <w:sz w:val="20"/>
                <w:szCs w:val="20"/>
                <w:lang w:eastAsia="en-US"/>
              </w:rPr>
              <w:t xml:space="preserve"> visos gadījumos</w:t>
            </w:r>
            <w:r w:rsidR="00B72B7F">
              <w:rPr>
                <w:rFonts w:ascii="Arial" w:hAnsi="Arial" w:cs="Arial"/>
                <w:sz w:val="20"/>
                <w:szCs w:val="20"/>
                <w:lang w:eastAsia="en-US"/>
              </w:rPr>
              <w:t xml:space="preserve"> nav</w:t>
            </w:r>
            <w:r w:rsidR="001B0A4D">
              <w:rPr>
                <w:rFonts w:ascii="Arial" w:hAnsi="Arial" w:cs="Arial"/>
                <w:sz w:val="20"/>
                <w:szCs w:val="20"/>
                <w:lang w:eastAsia="en-US"/>
              </w:rPr>
              <w:t xml:space="preserve"> iespējas vai</w:t>
            </w:r>
            <w:r>
              <w:rPr>
                <w:rFonts w:ascii="Arial" w:hAnsi="Arial" w:cs="Arial"/>
                <w:sz w:val="20"/>
                <w:szCs w:val="20"/>
                <w:lang w:eastAsia="en-US"/>
              </w:rPr>
              <w:t xml:space="preserve"> tiesības</w:t>
            </w:r>
            <w:r w:rsidR="00B72B7F">
              <w:rPr>
                <w:rFonts w:ascii="Arial" w:hAnsi="Arial" w:cs="Arial"/>
                <w:sz w:val="20"/>
                <w:szCs w:val="20"/>
                <w:lang w:eastAsia="en-US"/>
              </w:rPr>
              <w:t xml:space="preserve"> izpaust šādu informāciju</w:t>
            </w:r>
            <w:r w:rsidR="005C28CE">
              <w:rPr>
                <w:rFonts w:ascii="Arial" w:hAnsi="Arial" w:cs="Arial"/>
                <w:sz w:val="20"/>
                <w:szCs w:val="20"/>
                <w:lang w:eastAsia="en-US"/>
              </w:rPr>
              <w:t>. T</w:t>
            </w:r>
            <w:r w:rsidR="00C6580E">
              <w:rPr>
                <w:rFonts w:ascii="Arial" w:hAnsi="Arial" w:cs="Arial"/>
                <w:sz w:val="20"/>
                <w:szCs w:val="20"/>
                <w:lang w:eastAsia="en-US"/>
              </w:rPr>
              <w:t>ā kā</w:t>
            </w:r>
            <w:r w:rsidR="002536FB">
              <w:rPr>
                <w:rFonts w:ascii="Arial" w:hAnsi="Arial" w:cs="Arial"/>
                <w:sz w:val="20"/>
                <w:szCs w:val="20"/>
                <w:lang w:eastAsia="en-US"/>
              </w:rPr>
              <w:t xml:space="preserve"> informācijas sistēmas lietotājs ir vienojies</w:t>
            </w:r>
            <w:r w:rsidR="00C6580E" w:rsidRPr="00C6580E">
              <w:rPr>
                <w:rFonts w:ascii="Arial" w:hAnsi="Arial" w:cs="Arial"/>
                <w:sz w:val="20"/>
                <w:szCs w:val="20"/>
                <w:lang w:eastAsia="en-US"/>
              </w:rPr>
              <w:t xml:space="preserve"> ar attiec</w:t>
            </w:r>
            <w:r w:rsidR="002536FB">
              <w:rPr>
                <w:rFonts w:ascii="Arial" w:hAnsi="Arial" w:cs="Arial"/>
                <w:sz w:val="20"/>
                <w:szCs w:val="20"/>
                <w:lang w:eastAsia="en-US"/>
              </w:rPr>
              <w:t>īgo autortiesību</w:t>
            </w:r>
            <w:r w:rsidR="00C6580E" w:rsidRPr="00C6580E">
              <w:rPr>
                <w:rFonts w:ascii="Arial" w:hAnsi="Arial" w:cs="Arial"/>
                <w:sz w:val="20"/>
                <w:szCs w:val="20"/>
                <w:lang w:eastAsia="en-US"/>
              </w:rPr>
              <w:t xml:space="preserve"> subj</w:t>
            </w:r>
            <w:r w:rsidR="005C28CE">
              <w:rPr>
                <w:rFonts w:ascii="Arial" w:hAnsi="Arial" w:cs="Arial"/>
                <w:sz w:val="20"/>
                <w:szCs w:val="20"/>
                <w:lang w:eastAsia="en-US"/>
              </w:rPr>
              <w:t>ektu par šā objekta izmantošanu, informējam,</w:t>
            </w:r>
            <w:r w:rsidR="002C22B1">
              <w:rPr>
                <w:rFonts w:ascii="Arial" w:hAnsi="Arial" w:cs="Arial"/>
                <w:sz w:val="20"/>
                <w:szCs w:val="20"/>
                <w:lang w:eastAsia="en-US"/>
              </w:rPr>
              <w:t xml:space="preserve"> ka</w:t>
            </w:r>
            <w:r w:rsidR="005C28CE">
              <w:rPr>
                <w:rFonts w:ascii="Arial" w:hAnsi="Arial" w:cs="Arial"/>
                <w:sz w:val="20"/>
                <w:szCs w:val="20"/>
                <w:lang w:eastAsia="en-US"/>
              </w:rPr>
              <w:t xml:space="preserve"> </w:t>
            </w:r>
            <w:r w:rsidR="002536FB">
              <w:t xml:space="preserve">  </w:t>
            </w:r>
            <w:r w:rsidR="005C28CE">
              <w:rPr>
                <w:rFonts w:ascii="Arial" w:hAnsi="Arial" w:cs="Arial"/>
                <w:sz w:val="20"/>
                <w:szCs w:val="20"/>
                <w:lang w:eastAsia="en-US"/>
              </w:rPr>
              <w:t>s</w:t>
            </w:r>
            <w:r w:rsidR="002536FB" w:rsidRPr="002536FB">
              <w:rPr>
                <w:rFonts w:ascii="Arial" w:hAnsi="Arial" w:cs="Arial"/>
                <w:sz w:val="20"/>
                <w:szCs w:val="20"/>
                <w:lang w:eastAsia="en-US"/>
              </w:rPr>
              <w:t>istē</w:t>
            </w:r>
            <w:r w:rsidR="005C28CE">
              <w:rPr>
                <w:rFonts w:ascii="Arial" w:hAnsi="Arial" w:cs="Arial"/>
                <w:sz w:val="20"/>
                <w:szCs w:val="20"/>
                <w:lang w:eastAsia="en-US"/>
              </w:rPr>
              <w:t>mas Autortiesības</w:t>
            </w:r>
            <w:r w:rsidR="002536FB" w:rsidRPr="002536FB">
              <w:rPr>
                <w:rFonts w:ascii="Arial" w:hAnsi="Arial" w:cs="Arial"/>
                <w:sz w:val="20"/>
                <w:szCs w:val="20"/>
                <w:lang w:eastAsia="en-US"/>
              </w:rPr>
              <w:t xml:space="preserve"> pieder Sabiedrībai ar ierobežotu atbildību "ZZ </w:t>
            </w:r>
            <w:proofErr w:type="spellStart"/>
            <w:r w:rsidR="002536FB" w:rsidRPr="002536FB">
              <w:rPr>
                <w:rFonts w:ascii="Arial" w:hAnsi="Arial" w:cs="Arial"/>
                <w:sz w:val="20"/>
                <w:szCs w:val="20"/>
                <w:lang w:eastAsia="en-US"/>
              </w:rPr>
              <w:t>Dats</w:t>
            </w:r>
            <w:proofErr w:type="spellEnd"/>
            <w:r w:rsidR="002536FB" w:rsidRPr="002536FB">
              <w:rPr>
                <w:rFonts w:ascii="Arial" w:hAnsi="Arial" w:cs="Arial"/>
                <w:sz w:val="20"/>
                <w:szCs w:val="20"/>
                <w:lang w:eastAsia="en-US"/>
              </w:rPr>
              <w:t>".</w:t>
            </w:r>
            <w:r w:rsidR="00B72B7F">
              <w:rPr>
                <w:rFonts w:ascii="Arial" w:hAnsi="Arial" w:cs="Arial"/>
                <w:sz w:val="20"/>
                <w:szCs w:val="20"/>
                <w:lang w:eastAsia="en-US"/>
              </w:rPr>
              <w:t xml:space="preserve"> Kas attiecas uz valsts informācijas sistēmām</w:t>
            </w:r>
            <w:r w:rsidR="00CD5734">
              <w:rPr>
                <w:rFonts w:ascii="Arial" w:hAnsi="Arial" w:cs="Arial"/>
                <w:sz w:val="20"/>
                <w:szCs w:val="20"/>
                <w:lang w:eastAsia="en-US"/>
              </w:rPr>
              <w:t xml:space="preserve"> un i</w:t>
            </w:r>
            <w:r w:rsidR="00CD5734" w:rsidRPr="00CD5734">
              <w:rPr>
                <w:rFonts w:ascii="Arial" w:hAnsi="Arial" w:cs="Arial"/>
                <w:sz w:val="20"/>
                <w:szCs w:val="20"/>
                <w:lang w:eastAsia="en-US"/>
              </w:rPr>
              <w:t>ntegrētā</w:t>
            </w:r>
            <w:r w:rsidR="00CD5734">
              <w:rPr>
                <w:rFonts w:ascii="Arial" w:hAnsi="Arial" w:cs="Arial"/>
                <w:sz w:val="20"/>
                <w:szCs w:val="20"/>
                <w:lang w:eastAsia="en-US"/>
              </w:rPr>
              <w:t>m</w:t>
            </w:r>
            <w:r w:rsidR="00CD5734" w:rsidRPr="00CD5734">
              <w:rPr>
                <w:rFonts w:ascii="Arial" w:hAnsi="Arial" w:cs="Arial"/>
                <w:sz w:val="20"/>
                <w:szCs w:val="20"/>
                <w:lang w:eastAsia="en-US"/>
              </w:rPr>
              <w:t xml:space="preserve"> valsts informācijas sistēmā</w:t>
            </w:r>
            <w:r w:rsidR="00CD5734">
              <w:rPr>
                <w:rFonts w:ascii="Arial" w:hAnsi="Arial" w:cs="Arial"/>
                <w:sz w:val="20"/>
                <w:szCs w:val="20"/>
                <w:lang w:eastAsia="en-US"/>
              </w:rPr>
              <w:t>m</w:t>
            </w:r>
            <w:r w:rsidR="00B72B7F">
              <w:rPr>
                <w:rFonts w:ascii="Arial" w:hAnsi="Arial" w:cs="Arial"/>
                <w:sz w:val="20"/>
                <w:szCs w:val="20"/>
                <w:lang w:eastAsia="en-US"/>
              </w:rPr>
              <w:t>, ar kurām iespējams</w:t>
            </w:r>
            <w:r w:rsidR="002536FB">
              <w:rPr>
                <w:rFonts w:ascii="Arial" w:hAnsi="Arial" w:cs="Arial"/>
                <w:sz w:val="20"/>
                <w:szCs w:val="20"/>
                <w:lang w:eastAsia="en-US"/>
              </w:rPr>
              <w:t xml:space="preserve"> būtu nepieciešams</w:t>
            </w:r>
            <w:r w:rsidR="00B72B7F">
              <w:rPr>
                <w:rFonts w:ascii="Arial" w:hAnsi="Arial" w:cs="Arial"/>
                <w:sz w:val="20"/>
                <w:szCs w:val="20"/>
                <w:lang w:eastAsia="en-US"/>
              </w:rPr>
              <w:t xml:space="preserve"> izveidot integrāciju,  informāciju par tām iespējams iegūt </w:t>
            </w:r>
            <w:r w:rsidR="00B72B7F" w:rsidRPr="00B72B7F">
              <w:rPr>
                <w:rFonts w:ascii="Arial" w:hAnsi="Arial" w:cs="Arial"/>
                <w:sz w:val="20"/>
                <w:szCs w:val="20"/>
                <w:lang w:eastAsia="en-US"/>
              </w:rPr>
              <w:t>valsts informācijas sistēmu reģistr</w:t>
            </w:r>
            <w:r w:rsidR="00B72B7F">
              <w:rPr>
                <w:rFonts w:ascii="Arial" w:hAnsi="Arial" w:cs="Arial"/>
                <w:sz w:val="20"/>
                <w:szCs w:val="20"/>
                <w:lang w:eastAsia="en-US"/>
              </w:rPr>
              <w:t>ā</w:t>
            </w:r>
            <w:r w:rsidR="00CD5734">
              <w:rPr>
                <w:rFonts w:ascii="Arial" w:hAnsi="Arial" w:cs="Arial"/>
                <w:sz w:val="20"/>
                <w:szCs w:val="20"/>
                <w:lang w:eastAsia="en-US"/>
              </w:rPr>
              <w:t xml:space="preserve"> un pie attiecīgā</w:t>
            </w:r>
            <w:r w:rsidR="002536FB">
              <w:rPr>
                <w:rFonts w:ascii="Arial" w:hAnsi="Arial" w:cs="Arial"/>
                <w:sz w:val="20"/>
                <w:szCs w:val="20"/>
                <w:lang w:eastAsia="en-US"/>
              </w:rPr>
              <w:t>s</w:t>
            </w:r>
            <w:r w:rsidR="00CD5734">
              <w:rPr>
                <w:rFonts w:ascii="Arial" w:hAnsi="Arial" w:cs="Arial"/>
                <w:sz w:val="20"/>
                <w:szCs w:val="20"/>
                <w:lang w:eastAsia="en-US"/>
              </w:rPr>
              <w:t xml:space="preserve"> sis</w:t>
            </w:r>
            <w:r w:rsidR="00B72B7F">
              <w:rPr>
                <w:rFonts w:ascii="Arial" w:hAnsi="Arial" w:cs="Arial"/>
                <w:sz w:val="20"/>
                <w:szCs w:val="20"/>
                <w:lang w:eastAsia="en-US"/>
              </w:rPr>
              <w:t xml:space="preserve">tēmas pārziņa vai turētāja. </w:t>
            </w:r>
            <w:r w:rsidR="00AF793E">
              <w:rPr>
                <w:rFonts w:ascii="Arial" w:hAnsi="Arial" w:cs="Arial"/>
                <w:sz w:val="20"/>
                <w:szCs w:val="20"/>
                <w:lang w:eastAsia="en-US"/>
              </w:rPr>
              <w:t xml:space="preserve"> Ņemot vērā iepriekš minēto,</w:t>
            </w:r>
            <w:r w:rsidR="005C28CE">
              <w:rPr>
                <w:rFonts w:ascii="Arial" w:hAnsi="Arial" w:cs="Arial"/>
                <w:sz w:val="20"/>
                <w:szCs w:val="20"/>
                <w:lang w:eastAsia="en-US"/>
              </w:rPr>
              <w:t xml:space="preserve"> </w:t>
            </w:r>
            <w:r w:rsidR="00AF793E">
              <w:rPr>
                <w:rFonts w:ascii="Arial" w:hAnsi="Arial" w:cs="Arial"/>
                <w:sz w:val="20"/>
                <w:szCs w:val="20"/>
                <w:lang w:eastAsia="en-US"/>
              </w:rPr>
              <w:t xml:space="preserve"> Pasūtītājam nav iespējams izsniegt prasīto informāciju un dokumentāciju.</w:t>
            </w:r>
          </w:p>
        </w:tc>
      </w:tr>
      <w:tr w:rsidR="00F04A0A" w:rsidRPr="00F465E9" w14:paraId="7012D97D" w14:textId="77777777" w:rsidTr="00E46DA3">
        <w:tc>
          <w:tcPr>
            <w:tcW w:w="9776" w:type="dxa"/>
            <w:gridSpan w:val="2"/>
            <w:shd w:val="clear" w:color="auto" w:fill="CCFFCC"/>
          </w:tcPr>
          <w:p w14:paraId="392F8BCC" w14:textId="77777777" w:rsidR="00F04A0A" w:rsidRPr="00DC52B1" w:rsidRDefault="00F04A0A" w:rsidP="000F1784">
            <w:pPr>
              <w:tabs>
                <w:tab w:val="left" w:pos="2552"/>
              </w:tabs>
              <w:suppressAutoHyphens/>
              <w:autoSpaceDE w:val="0"/>
              <w:jc w:val="both"/>
              <w:rPr>
                <w:rFonts w:ascii="Arial" w:hAnsi="Arial" w:cs="Arial"/>
                <w:b/>
                <w:bCs/>
                <w:sz w:val="12"/>
                <w:szCs w:val="12"/>
                <w:lang w:eastAsia="ar-SA"/>
              </w:rPr>
            </w:pPr>
          </w:p>
        </w:tc>
      </w:tr>
    </w:tbl>
    <w:p w14:paraId="7E7997DC" w14:textId="77777777" w:rsidR="006376F6" w:rsidRPr="00B4657F" w:rsidRDefault="006376F6" w:rsidP="00032669">
      <w:pPr>
        <w:spacing w:before="20" w:after="20"/>
        <w:rPr>
          <w:rFonts w:ascii="Arial" w:hAnsi="Arial" w:cs="Arial"/>
          <w:b/>
          <w:sz w:val="20"/>
          <w:szCs w:val="20"/>
          <w:lang w:eastAsia="en-US"/>
        </w:rPr>
      </w:pPr>
    </w:p>
    <w:sectPr w:rsidR="006376F6" w:rsidRPr="00B4657F" w:rsidSect="004E05BA">
      <w:headerReference w:type="default" r:id="rId8"/>
      <w:footerReference w:type="default" r:id="rId9"/>
      <w:headerReference w:type="first" r:id="rId10"/>
      <w:pgSz w:w="11906" w:h="16838"/>
      <w:pgMar w:top="851" w:right="1133" w:bottom="851"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4185E" w14:textId="77777777" w:rsidR="00E85E1B" w:rsidRDefault="00E85E1B" w:rsidP="009258C8">
      <w:r>
        <w:separator/>
      </w:r>
    </w:p>
  </w:endnote>
  <w:endnote w:type="continuationSeparator" w:id="0">
    <w:p w14:paraId="78834250" w14:textId="77777777" w:rsidR="00E85E1B" w:rsidRDefault="00E85E1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715269"/>
      <w:docPartObj>
        <w:docPartGallery w:val="Page Numbers (Bottom of Page)"/>
        <w:docPartUnique/>
      </w:docPartObj>
    </w:sdtPr>
    <w:sdtEndPr/>
    <w:sdtContent>
      <w:p w14:paraId="7AAD817D" w14:textId="554C0C20" w:rsidR="000F2912" w:rsidRDefault="000F2912">
        <w:pPr>
          <w:pStyle w:val="Kjene"/>
          <w:jc w:val="right"/>
        </w:pPr>
        <w:r>
          <w:fldChar w:fldCharType="begin"/>
        </w:r>
        <w:r>
          <w:instrText>PAGE   \* MERGEFORMAT</w:instrText>
        </w:r>
        <w:r>
          <w:fldChar w:fldCharType="separate"/>
        </w:r>
        <w:r w:rsidR="00680A3D">
          <w:rPr>
            <w:noProof/>
          </w:rPr>
          <w:t>2</w:t>
        </w:r>
        <w: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1E4E" w14:textId="77777777" w:rsidR="00E85E1B" w:rsidRDefault="00E85E1B" w:rsidP="009258C8">
      <w:r>
        <w:separator/>
      </w:r>
    </w:p>
  </w:footnote>
  <w:footnote w:type="continuationSeparator" w:id="0">
    <w:p w14:paraId="52B8F962" w14:textId="77777777" w:rsidR="00E85E1B" w:rsidRDefault="00E85E1B"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9"/>
  </w:num>
  <w:num w:numId="7">
    <w:abstractNumId w:val="3"/>
  </w:num>
  <w:num w:numId="8">
    <w:abstractNumId w:val="18"/>
  </w:num>
  <w:num w:numId="9">
    <w:abstractNumId w:val="6"/>
  </w:num>
  <w:num w:numId="10">
    <w:abstractNumId w:val="5"/>
  </w:num>
  <w:num w:numId="11">
    <w:abstractNumId w:val="18"/>
  </w:num>
  <w:num w:numId="12">
    <w:abstractNumId w:val="6"/>
  </w:num>
  <w:num w:numId="13">
    <w:abstractNumId w:val="16"/>
  </w:num>
  <w:num w:numId="14">
    <w:abstractNumId w:val="14"/>
  </w:num>
  <w:num w:numId="15">
    <w:abstractNumId w:val="17"/>
  </w:num>
  <w:num w:numId="16">
    <w:abstractNumId w:val="15"/>
  </w:num>
  <w:num w:numId="17">
    <w:abstractNumId w:val="13"/>
  </w:num>
  <w:num w:numId="18">
    <w:abstractNumId w:val="4"/>
  </w:num>
  <w:num w:numId="19">
    <w:abstractNumId w:val="7"/>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07EA9"/>
    <w:rsid w:val="0001269C"/>
    <w:rsid w:val="000148CA"/>
    <w:rsid w:val="00016821"/>
    <w:rsid w:val="000212D5"/>
    <w:rsid w:val="000246E3"/>
    <w:rsid w:val="00032669"/>
    <w:rsid w:val="00036C5D"/>
    <w:rsid w:val="000466AE"/>
    <w:rsid w:val="00046F67"/>
    <w:rsid w:val="00051438"/>
    <w:rsid w:val="00051DC2"/>
    <w:rsid w:val="00052C2D"/>
    <w:rsid w:val="000667F2"/>
    <w:rsid w:val="00067C8C"/>
    <w:rsid w:val="0007583C"/>
    <w:rsid w:val="00083723"/>
    <w:rsid w:val="0009177F"/>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EAC"/>
    <w:rsid w:val="00120BDB"/>
    <w:rsid w:val="00122BBD"/>
    <w:rsid w:val="00126735"/>
    <w:rsid w:val="00133187"/>
    <w:rsid w:val="00133287"/>
    <w:rsid w:val="0013367A"/>
    <w:rsid w:val="00134325"/>
    <w:rsid w:val="00137A06"/>
    <w:rsid w:val="00142C09"/>
    <w:rsid w:val="0014680E"/>
    <w:rsid w:val="00155DC8"/>
    <w:rsid w:val="0016201D"/>
    <w:rsid w:val="00165C38"/>
    <w:rsid w:val="00170F74"/>
    <w:rsid w:val="0017391A"/>
    <w:rsid w:val="0017483F"/>
    <w:rsid w:val="00175F38"/>
    <w:rsid w:val="00182E07"/>
    <w:rsid w:val="00183F4A"/>
    <w:rsid w:val="00187C2B"/>
    <w:rsid w:val="00190FFF"/>
    <w:rsid w:val="00193F8A"/>
    <w:rsid w:val="0019511A"/>
    <w:rsid w:val="001979CE"/>
    <w:rsid w:val="001A0F4A"/>
    <w:rsid w:val="001A1CF4"/>
    <w:rsid w:val="001A2F50"/>
    <w:rsid w:val="001A51D3"/>
    <w:rsid w:val="001A7DD9"/>
    <w:rsid w:val="001B0A4D"/>
    <w:rsid w:val="001B0DCB"/>
    <w:rsid w:val="001C29B2"/>
    <w:rsid w:val="001D64EF"/>
    <w:rsid w:val="001D6E78"/>
    <w:rsid w:val="001D7EA1"/>
    <w:rsid w:val="001E10BE"/>
    <w:rsid w:val="001E6C76"/>
    <w:rsid w:val="001F0C1D"/>
    <w:rsid w:val="001F5D9A"/>
    <w:rsid w:val="00200FA6"/>
    <w:rsid w:val="00202C90"/>
    <w:rsid w:val="00203942"/>
    <w:rsid w:val="00210876"/>
    <w:rsid w:val="002127F0"/>
    <w:rsid w:val="00213A8E"/>
    <w:rsid w:val="00241932"/>
    <w:rsid w:val="0024293C"/>
    <w:rsid w:val="00242DBA"/>
    <w:rsid w:val="002536FB"/>
    <w:rsid w:val="00253EA0"/>
    <w:rsid w:val="0025486B"/>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C22B1"/>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20E34"/>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95DA8"/>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BAA"/>
    <w:rsid w:val="00426CAC"/>
    <w:rsid w:val="00426CD6"/>
    <w:rsid w:val="00426D9B"/>
    <w:rsid w:val="00426F2E"/>
    <w:rsid w:val="00431511"/>
    <w:rsid w:val="00433ED2"/>
    <w:rsid w:val="00436C14"/>
    <w:rsid w:val="0044260F"/>
    <w:rsid w:val="00447698"/>
    <w:rsid w:val="00451FAD"/>
    <w:rsid w:val="00471357"/>
    <w:rsid w:val="004722D9"/>
    <w:rsid w:val="00472A30"/>
    <w:rsid w:val="00480FCA"/>
    <w:rsid w:val="00483745"/>
    <w:rsid w:val="00486A8E"/>
    <w:rsid w:val="00486D6F"/>
    <w:rsid w:val="0049522F"/>
    <w:rsid w:val="004975A3"/>
    <w:rsid w:val="004A0F85"/>
    <w:rsid w:val="004B4A7F"/>
    <w:rsid w:val="004C530E"/>
    <w:rsid w:val="004D07E4"/>
    <w:rsid w:val="004D4550"/>
    <w:rsid w:val="004E05BA"/>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57CFA"/>
    <w:rsid w:val="00562702"/>
    <w:rsid w:val="0056331F"/>
    <w:rsid w:val="00563D75"/>
    <w:rsid w:val="0056464C"/>
    <w:rsid w:val="005A2099"/>
    <w:rsid w:val="005B33BE"/>
    <w:rsid w:val="005B5760"/>
    <w:rsid w:val="005B5B18"/>
    <w:rsid w:val="005C0D2D"/>
    <w:rsid w:val="005C1FD9"/>
    <w:rsid w:val="005C28CE"/>
    <w:rsid w:val="005D255D"/>
    <w:rsid w:val="005D29D0"/>
    <w:rsid w:val="005D3BF3"/>
    <w:rsid w:val="005D5BFB"/>
    <w:rsid w:val="005E0637"/>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75494"/>
    <w:rsid w:val="00680A3D"/>
    <w:rsid w:val="00682E66"/>
    <w:rsid w:val="0068443A"/>
    <w:rsid w:val="00685EC7"/>
    <w:rsid w:val="00685F30"/>
    <w:rsid w:val="00686A00"/>
    <w:rsid w:val="006908BE"/>
    <w:rsid w:val="0069115E"/>
    <w:rsid w:val="006922BF"/>
    <w:rsid w:val="0069314B"/>
    <w:rsid w:val="00694433"/>
    <w:rsid w:val="006A0E36"/>
    <w:rsid w:val="006B2C66"/>
    <w:rsid w:val="006B31A1"/>
    <w:rsid w:val="006C69D2"/>
    <w:rsid w:val="006D0D39"/>
    <w:rsid w:val="006D1729"/>
    <w:rsid w:val="006D4FBC"/>
    <w:rsid w:val="006D5EF7"/>
    <w:rsid w:val="006D632F"/>
    <w:rsid w:val="006E5122"/>
    <w:rsid w:val="006E7097"/>
    <w:rsid w:val="006F4F03"/>
    <w:rsid w:val="006F7D94"/>
    <w:rsid w:val="00704F88"/>
    <w:rsid w:val="007056F9"/>
    <w:rsid w:val="0070791A"/>
    <w:rsid w:val="00710081"/>
    <w:rsid w:val="0072778E"/>
    <w:rsid w:val="007302C5"/>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D4EA5"/>
    <w:rsid w:val="007E114D"/>
    <w:rsid w:val="007E130B"/>
    <w:rsid w:val="007F17A7"/>
    <w:rsid w:val="007F583B"/>
    <w:rsid w:val="008008CD"/>
    <w:rsid w:val="00802ABB"/>
    <w:rsid w:val="00805589"/>
    <w:rsid w:val="00814145"/>
    <w:rsid w:val="00814871"/>
    <w:rsid w:val="00823D06"/>
    <w:rsid w:val="0083083F"/>
    <w:rsid w:val="00842C2C"/>
    <w:rsid w:val="00844638"/>
    <w:rsid w:val="00845A19"/>
    <w:rsid w:val="00847485"/>
    <w:rsid w:val="00851FA3"/>
    <w:rsid w:val="00854856"/>
    <w:rsid w:val="00863A03"/>
    <w:rsid w:val="00864702"/>
    <w:rsid w:val="0087462A"/>
    <w:rsid w:val="00876669"/>
    <w:rsid w:val="00887E07"/>
    <w:rsid w:val="008928FB"/>
    <w:rsid w:val="00896E7E"/>
    <w:rsid w:val="008A3384"/>
    <w:rsid w:val="008A65EA"/>
    <w:rsid w:val="008B10F6"/>
    <w:rsid w:val="008B4511"/>
    <w:rsid w:val="008B4C0A"/>
    <w:rsid w:val="008C786C"/>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94DED"/>
    <w:rsid w:val="009A166C"/>
    <w:rsid w:val="009A231C"/>
    <w:rsid w:val="009A3836"/>
    <w:rsid w:val="009A5617"/>
    <w:rsid w:val="009B2ED3"/>
    <w:rsid w:val="009B53A3"/>
    <w:rsid w:val="009B5659"/>
    <w:rsid w:val="009B7FC5"/>
    <w:rsid w:val="009C5FC9"/>
    <w:rsid w:val="009C7D67"/>
    <w:rsid w:val="009D2242"/>
    <w:rsid w:val="009D713C"/>
    <w:rsid w:val="009E365C"/>
    <w:rsid w:val="009E77A0"/>
    <w:rsid w:val="009F674C"/>
    <w:rsid w:val="00A01D7F"/>
    <w:rsid w:val="00A02E57"/>
    <w:rsid w:val="00A04216"/>
    <w:rsid w:val="00A11EC9"/>
    <w:rsid w:val="00A22426"/>
    <w:rsid w:val="00A24696"/>
    <w:rsid w:val="00A25642"/>
    <w:rsid w:val="00A27DB1"/>
    <w:rsid w:val="00A34670"/>
    <w:rsid w:val="00A43292"/>
    <w:rsid w:val="00A55CAE"/>
    <w:rsid w:val="00A56EAF"/>
    <w:rsid w:val="00A64167"/>
    <w:rsid w:val="00A72CAC"/>
    <w:rsid w:val="00A76739"/>
    <w:rsid w:val="00A80BAA"/>
    <w:rsid w:val="00A8500B"/>
    <w:rsid w:val="00A90E5F"/>
    <w:rsid w:val="00A92E31"/>
    <w:rsid w:val="00AA2F5E"/>
    <w:rsid w:val="00AA61B4"/>
    <w:rsid w:val="00AB31C1"/>
    <w:rsid w:val="00AB6E2E"/>
    <w:rsid w:val="00AB7C86"/>
    <w:rsid w:val="00AD177F"/>
    <w:rsid w:val="00AD2C42"/>
    <w:rsid w:val="00AE1A32"/>
    <w:rsid w:val="00AE2B0F"/>
    <w:rsid w:val="00AE2B38"/>
    <w:rsid w:val="00AE3706"/>
    <w:rsid w:val="00AF793E"/>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2B7F"/>
    <w:rsid w:val="00B737BC"/>
    <w:rsid w:val="00B83018"/>
    <w:rsid w:val="00B84D40"/>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567B1"/>
    <w:rsid w:val="00C6394C"/>
    <w:rsid w:val="00C6580E"/>
    <w:rsid w:val="00C66B1D"/>
    <w:rsid w:val="00C72644"/>
    <w:rsid w:val="00C728D7"/>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D5734"/>
    <w:rsid w:val="00CE38D6"/>
    <w:rsid w:val="00CE58FC"/>
    <w:rsid w:val="00CE7E57"/>
    <w:rsid w:val="00CF05C5"/>
    <w:rsid w:val="00CF2F6F"/>
    <w:rsid w:val="00CF74E4"/>
    <w:rsid w:val="00D03C2E"/>
    <w:rsid w:val="00D1697F"/>
    <w:rsid w:val="00D25DF2"/>
    <w:rsid w:val="00D436CA"/>
    <w:rsid w:val="00D52EB5"/>
    <w:rsid w:val="00D63773"/>
    <w:rsid w:val="00D65789"/>
    <w:rsid w:val="00D73524"/>
    <w:rsid w:val="00D7566E"/>
    <w:rsid w:val="00D85128"/>
    <w:rsid w:val="00D8526D"/>
    <w:rsid w:val="00D862CA"/>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46DA3"/>
    <w:rsid w:val="00E53896"/>
    <w:rsid w:val="00E62453"/>
    <w:rsid w:val="00E6297F"/>
    <w:rsid w:val="00E63957"/>
    <w:rsid w:val="00E652D0"/>
    <w:rsid w:val="00E726D2"/>
    <w:rsid w:val="00E746CC"/>
    <w:rsid w:val="00E75A59"/>
    <w:rsid w:val="00E84926"/>
    <w:rsid w:val="00E85E1B"/>
    <w:rsid w:val="00E878D2"/>
    <w:rsid w:val="00E90D4C"/>
    <w:rsid w:val="00E922CC"/>
    <w:rsid w:val="00E93F70"/>
    <w:rsid w:val="00EA0238"/>
    <w:rsid w:val="00EA229C"/>
    <w:rsid w:val="00EB0F00"/>
    <w:rsid w:val="00EB209C"/>
    <w:rsid w:val="00EB5401"/>
    <w:rsid w:val="00ED3FE4"/>
    <w:rsid w:val="00EE026C"/>
    <w:rsid w:val="00EE20D2"/>
    <w:rsid w:val="00EE7891"/>
    <w:rsid w:val="00EF0A80"/>
    <w:rsid w:val="00EF0FFD"/>
    <w:rsid w:val="00F00003"/>
    <w:rsid w:val="00F04A0A"/>
    <w:rsid w:val="00F1226D"/>
    <w:rsid w:val="00F14D7E"/>
    <w:rsid w:val="00F26A2A"/>
    <w:rsid w:val="00F274BF"/>
    <w:rsid w:val="00F30DB7"/>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02AC"/>
    <w:rsid w:val="00FD2A20"/>
    <w:rsid w:val="00FD7066"/>
    <w:rsid w:val="00FE1A75"/>
    <w:rsid w:val="00FE7188"/>
    <w:rsid w:val="00FE7DF3"/>
    <w:rsid w:val="00FF0B42"/>
    <w:rsid w:val="00FF229E"/>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UnresolvedMention">
    <w:name w:val="Unresolved Mention"/>
    <w:basedOn w:val="Noklusjumarindkopasfonts"/>
    <w:uiPriority w:val="99"/>
    <w:semiHidden/>
    <w:unhideWhenUsed/>
    <w:rsid w:val="00EA0238"/>
    <w:rPr>
      <w:color w:val="605E5C"/>
      <w:shd w:val="clear" w:color="auto" w:fill="E1DFDD"/>
    </w:rPr>
  </w:style>
  <w:style w:type="character" w:styleId="Komentraatsauce">
    <w:name w:val="annotation reference"/>
    <w:basedOn w:val="Noklusjumarindkopasfonts"/>
    <w:uiPriority w:val="99"/>
    <w:semiHidden/>
    <w:unhideWhenUsed/>
    <w:rsid w:val="00007EA9"/>
    <w:rPr>
      <w:sz w:val="16"/>
      <w:szCs w:val="16"/>
    </w:rPr>
  </w:style>
  <w:style w:type="paragraph" w:styleId="Komentrateksts">
    <w:name w:val="annotation text"/>
    <w:basedOn w:val="Parasts"/>
    <w:link w:val="KomentratekstsRakstz"/>
    <w:uiPriority w:val="99"/>
    <w:semiHidden/>
    <w:unhideWhenUsed/>
    <w:rsid w:val="00007EA9"/>
    <w:rPr>
      <w:sz w:val="20"/>
      <w:szCs w:val="20"/>
    </w:rPr>
  </w:style>
  <w:style w:type="character" w:customStyle="1" w:styleId="KomentratekstsRakstz">
    <w:name w:val="Komentāra teksts Rakstz."/>
    <w:basedOn w:val="Noklusjumarindkopasfonts"/>
    <w:link w:val="Komentrateksts"/>
    <w:uiPriority w:val="99"/>
    <w:semiHidden/>
    <w:rsid w:val="00007EA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07EA9"/>
    <w:rPr>
      <w:b/>
      <w:bCs/>
    </w:rPr>
  </w:style>
  <w:style w:type="character" w:customStyle="1" w:styleId="KomentratmaRakstz">
    <w:name w:val="Komentāra tēma Rakstz."/>
    <w:basedOn w:val="KomentratekstsRakstz"/>
    <w:link w:val="Komentratma"/>
    <w:uiPriority w:val="99"/>
    <w:semiHidden/>
    <w:rsid w:val="00007EA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58C2-4477-4AE3-93EE-5E00B753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2009</Words>
  <Characters>1146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Andra Kalnina</cp:lastModifiedBy>
  <cp:revision>4</cp:revision>
  <cp:lastPrinted>2019-03-04T12:41:00Z</cp:lastPrinted>
  <dcterms:created xsi:type="dcterms:W3CDTF">2019-10-09T12:13:00Z</dcterms:created>
  <dcterms:modified xsi:type="dcterms:W3CDTF">2019-10-09T13:04:00Z</dcterms:modified>
</cp:coreProperties>
</file>