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052E" w14:textId="77777777" w:rsidR="000F232A" w:rsidRPr="00B4657F" w:rsidRDefault="000F232A" w:rsidP="000326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1D6E78" w:rsidRDefault="00B4657F" w:rsidP="000326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0326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1377DAC0" w:rsidR="00B4657F" w:rsidRPr="00B4657F" w:rsidRDefault="00B4657F" w:rsidP="000326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 xml:space="preserve"> 201</w:t>
      </w:r>
      <w:r w:rsidR="002B4A91">
        <w:rPr>
          <w:rFonts w:ascii="Arial" w:hAnsi="Arial" w:cs="Arial"/>
          <w:bCs/>
          <w:sz w:val="20"/>
          <w:szCs w:val="20"/>
        </w:rPr>
        <w:t>9</w:t>
      </w:r>
      <w:r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182E07">
        <w:rPr>
          <w:rFonts w:ascii="Arial" w:hAnsi="Arial" w:cs="Arial"/>
          <w:bCs/>
          <w:sz w:val="20"/>
          <w:szCs w:val="20"/>
        </w:rPr>
        <w:t>1</w:t>
      </w:r>
      <w:r w:rsidR="000C0D24">
        <w:rPr>
          <w:rFonts w:ascii="Arial" w:hAnsi="Arial" w:cs="Arial"/>
          <w:bCs/>
          <w:sz w:val="20"/>
          <w:szCs w:val="20"/>
        </w:rPr>
        <w:t>6</w:t>
      </w:r>
      <w:r w:rsidRPr="001D6E78">
        <w:rPr>
          <w:rFonts w:ascii="Arial" w:hAnsi="Arial" w:cs="Arial"/>
          <w:bCs/>
          <w:sz w:val="20"/>
          <w:szCs w:val="20"/>
        </w:rPr>
        <w:t>.</w:t>
      </w:r>
      <w:r w:rsidR="002B4A91">
        <w:rPr>
          <w:rFonts w:ascii="Arial" w:hAnsi="Arial" w:cs="Arial"/>
          <w:bCs/>
          <w:sz w:val="20"/>
          <w:szCs w:val="20"/>
        </w:rPr>
        <w:t>janvā</w:t>
      </w:r>
      <w:r w:rsidR="006922BF">
        <w:rPr>
          <w:rFonts w:ascii="Arial" w:hAnsi="Arial" w:cs="Arial"/>
          <w:bCs/>
          <w:sz w:val="20"/>
          <w:szCs w:val="20"/>
        </w:rPr>
        <w:t xml:space="preserve">ra </w:t>
      </w:r>
      <w:r w:rsidRPr="001D6E78">
        <w:rPr>
          <w:rFonts w:ascii="Arial" w:hAnsi="Arial" w:cs="Arial"/>
          <w:bCs/>
          <w:sz w:val="20"/>
          <w:szCs w:val="20"/>
        </w:rPr>
        <w:t>sēdē, protokols Nr.</w:t>
      </w:r>
      <w:r w:rsidR="00101C50">
        <w:rPr>
          <w:rFonts w:ascii="Arial" w:hAnsi="Arial" w:cs="Arial"/>
          <w:bCs/>
          <w:sz w:val="20"/>
          <w:szCs w:val="20"/>
        </w:rPr>
        <w:t>4</w:t>
      </w:r>
      <w:r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06F0F9F4" w14:textId="77777777" w:rsidR="00B4657F" w:rsidRDefault="00B4657F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0ADC08F" w14:textId="77777777" w:rsidR="0070791A" w:rsidRDefault="0070791A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C6E80E3" w14:textId="77777777" w:rsidR="0070791A" w:rsidRDefault="0070791A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Default="0070791A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13B5FD6D" w:rsidR="00B4657F" w:rsidRPr="00182E07" w:rsidRDefault="00B4657F" w:rsidP="000326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82E07">
        <w:rPr>
          <w:rFonts w:ascii="Arial" w:hAnsi="Arial" w:cs="Arial"/>
          <w:b/>
          <w:sz w:val="20"/>
          <w:szCs w:val="20"/>
          <w:lang w:eastAsia="en-US"/>
        </w:rPr>
        <w:t xml:space="preserve">Par </w:t>
      </w:r>
      <w:r w:rsidR="0056331F" w:rsidRPr="00182E07">
        <w:rPr>
          <w:rFonts w:ascii="Arial" w:hAnsi="Arial" w:cs="Arial"/>
          <w:b/>
          <w:sz w:val="20"/>
          <w:szCs w:val="20"/>
          <w:lang w:eastAsia="en-US"/>
        </w:rPr>
        <w:t>atklāta konkursa</w:t>
      </w:r>
      <w:r w:rsidRPr="00182E07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182E07">
        <w:rPr>
          <w:rFonts w:ascii="Arial" w:eastAsia="Calibri" w:hAnsi="Arial" w:cs="Arial"/>
          <w:b/>
          <w:i/>
          <w:sz w:val="20"/>
          <w:szCs w:val="20"/>
          <w:lang w:eastAsia="en-US"/>
        </w:rPr>
        <w:t>“</w:t>
      </w:r>
      <w:bookmarkStart w:id="0" w:name="_Hlk488915499"/>
      <w:r w:rsidR="00F465E9" w:rsidRPr="00182E07">
        <w:rPr>
          <w:rFonts w:ascii="Arial" w:hAnsi="Arial" w:cs="Arial"/>
          <w:b/>
          <w:sz w:val="20"/>
          <w:szCs w:val="20"/>
        </w:rPr>
        <w:t>Par tiesībām veikt būvdarbus objektā “Peldu ielas pārbūve posmā no Liepu ielas līdz Kūrmājas prospektam, Liepājā, 1.un 2.kārta”</w:t>
      </w:r>
      <w:bookmarkEnd w:id="0"/>
      <w:r w:rsidR="00BE0445" w:rsidRPr="00182E07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” </w:t>
      </w:r>
      <w:r w:rsidRPr="00182E07">
        <w:rPr>
          <w:rFonts w:ascii="Arial" w:eastAsia="Calibri" w:hAnsi="Arial" w:cs="Arial"/>
          <w:bCs/>
          <w:sz w:val="20"/>
          <w:szCs w:val="20"/>
          <w:lang w:eastAsia="en-US"/>
        </w:rPr>
        <w:t>(LPP 201</w:t>
      </w:r>
      <w:r w:rsidR="00537B5A" w:rsidRPr="00182E07">
        <w:rPr>
          <w:rFonts w:ascii="Arial" w:eastAsia="Calibri" w:hAnsi="Arial" w:cs="Arial"/>
          <w:bCs/>
          <w:sz w:val="20"/>
          <w:szCs w:val="20"/>
          <w:lang w:eastAsia="en-US"/>
        </w:rPr>
        <w:t>8/</w:t>
      </w:r>
      <w:r w:rsidR="0056331F" w:rsidRPr="00182E07">
        <w:rPr>
          <w:rFonts w:ascii="Arial" w:eastAsia="Calibri" w:hAnsi="Arial" w:cs="Arial"/>
          <w:bCs/>
          <w:sz w:val="20"/>
          <w:szCs w:val="20"/>
          <w:lang w:eastAsia="en-US"/>
        </w:rPr>
        <w:t>1</w:t>
      </w:r>
      <w:r w:rsidR="006922BF" w:rsidRPr="00182E0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r w:rsidR="00F465E9" w:rsidRPr="00182E07">
        <w:rPr>
          <w:rFonts w:ascii="Arial" w:eastAsia="Calibri" w:hAnsi="Arial" w:cs="Arial"/>
          <w:bCs/>
          <w:sz w:val="20"/>
          <w:szCs w:val="20"/>
          <w:lang w:eastAsia="en-US"/>
        </w:rPr>
        <w:t>5</w:t>
      </w:r>
      <w:r w:rsidRPr="00182E07">
        <w:rPr>
          <w:rFonts w:ascii="Arial" w:eastAsia="Calibri" w:hAnsi="Arial" w:cs="Arial"/>
          <w:bCs/>
          <w:sz w:val="20"/>
          <w:szCs w:val="20"/>
          <w:lang w:eastAsia="en-US"/>
        </w:rPr>
        <w:t xml:space="preserve">) </w:t>
      </w:r>
      <w:r w:rsidRPr="00182E07">
        <w:rPr>
          <w:rFonts w:ascii="Arial" w:hAnsi="Arial" w:cs="Arial"/>
          <w:b/>
          <w:sz w:val="20"/>
          <w:szCs w:val="20"/>
          <w:lang w:eastAsia="en-US"/>
        </w:rPr>
        <w:t>nolikuma skaidrojumiem</w:t>
      </w:r>
      <w:r w:rsidR="00051DC2" w:rsidRPr="00182E07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1C6AC12D" w14:textId="77777777" w:rsidR="00FA7F76" w:rsidRPr="00B4657F" w:rsidRDefault="00FA7F76" w:rsidP="00032669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809"/>
        <w:gridCol w:w="8114"/>
      </w:tblGrid>
      <w:tr w:rsidR="00B4657F" w:rsidRPr="00F465E9" w14:paraId="739E0F99" w14:textId="77777777" w:rsidTr="00E63957">
        <w:tc>
          <w:tcPr>
            <w:tcW w:w="9923" w:type="dxa"/>
            <w:gridSpan w:val="2"/>
            <w:shd w:val="clear" w:color="auto" w:fill="CCFFCC"/>
          </w:tcPr>
          <w:p w14:paraId="0188AE94" w14:textId="77777777" w:rsidR="00B4657F" w:rsidRPr="00DC52B1" w:rsidRDefault="00B4657F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bookmarkStart w:id="1" w:name="_Hlk500400723"/>
            <w:bookmarkStart w:id="2" w:name="_Hlk507760749"/>
            <w:bookmarkStart w:id="3" w:name="_Hlk507761961"/>
          </w:p>
        </w:tc>
      </w:tr>
      <w:tr w:rsidR="00B4657F" w:rsidRPr="00F465E9" w14:paraId="28C51DD7" w14:textId="77777777" w:rsidTr="00E63957">
        <w:trPr>
          <w:trHeight w:val="739"/>
        </w:trPr>
        <w:tc>
          <w:tcPr>
            <w:tcW w:w="1809" w:type="dxa"/>
          </w:tcPr>
          <w:p w14:paraId="11C94464" w14:textId="385C7713" w:rsidR="00B4657F" w:rsidRPr="00F465E9" w:rsidRDefault="00D52EB5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bookmarkStart w:id="4" w:name="_Hlk503429744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1.</w:t>
            </w:r>
            <w:r w:rsidR="00B4657F"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8114" w:type="dxa"/>
          </w:tcPr>
          <w:p w14:paraId="476CF3D4" w14:textId="0C2C827F" w:rsidR="00182E07" w:rsidRPr="00182E07" w:rsidRDefault="00182E07" w:rsidP="00182E07">
            <w:pPr>
              <w:tabs>
                <w:tab w:val="left" w:pos="701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E07">
              <w:rPr>
                <w:rFonts w:ascii="Arial" w:hAnsi="Arial" w:cs="Arial"/>
                <w:sz w:val="20"/>
                <w:szCs w:val="20"/>
                <w:lang w:eastAsia="en-US"/>
              </w:rPr>
              <w:t>Lokālās tāmes Nr.1.5</w:t>
            </w:r>
            <w:r w:rsidR="00101C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“</w:t>
            </w:r>
            <w:r w:rsidR="00101C50" w:rsidRPr="00101C5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0.4kV apgaismojuma tīklu rekonstrukcija (1.kārta, Peldu iela)</w:t>
            </w:r>
            <w:r w:rsidR="00101C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” </w:t>
            </w:r>
            <w:r w:rsidRPr="00182E07">
              <w:rPr>
                <w:rFonts w:ascii="Arial" w:hAnsi="Arial" w:cs="Arial"/>
                <w:sz w:val="20"/>
                <w:szCs w:val="20"/>
                <w:lang w:eastAsia="en-US"/>
              </w:rPr>
              <w:t>Poz.4 nepieciešamais LED gaismeklis ar balstu (Pielikums Nr.3, 5.lpp) vairs nav pieejams ražošanā. Lūgums precizēt kādu gaismekli pretendentam ierēķināt piedāvājuma sagatavošanā?</w:t>
            </w:r>
          </w:p>
          <w:p w14:paraId="5BD8D736" w14:textId="610A4778" w:rsidR="00931ABE" w:rsidRPr="00F465E9" w:rsidRDefault="00931ABE" w:rsidP="00182E07">
            <w:pPr>
              <w:tabs>
                <w:tab w:val="left" w:pos="701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4657F" w:rsidRPr="00F465E9" w14:paraId="00C773A9" w14:textId="77777777" w:rsidTr="00E63957">
        <w:tc>
          <w:tcPr>
            <w:tcW w:w="1809" w:type="dxa"/>
          </w:tcPr>
          <w:p w14:paraId="2D16982C" w14:textId="41AA1DE9" w:rsidR="00B4657F" w:rsidRPr="00F465E9" w:rsidRDefault="00B4657F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8114" w:type="dxa"/>
          </w:tcPr>
          <w:p w14:paraId="23AE20F0" w14:textId="77777777" w:rsidR="00E63957" w:rsidRDefault="00101C50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1C5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Projekta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</w:t>
            </w:r>
            <w:r w:rsidRPr="00101C5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pielikumā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“</w:t>
            </w:r>
            <w:r w:rsidR="0044769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aismekļi”</w:t>
            </w:r>
            <w:r w:rsidR="0044769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1C5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nav norādīts konkrēts ražotājs.</w:t>
            </w:r>
            <w:r w:rsidR="0044769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47698" w:rsidRPr="0044769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Pretendent</w:t>
            </w:r>
            <w:r w:rsidR="0044769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am</w:t>
            </w:r>
            <w:r w:rsidR="00447698" w:rsidRPr="0044769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savā piedāvājumā ar ražotāja dokumentāciju vai kompetentas institūcijas izsniegtu apliecinājumu par pārbaudes rezultātiem </w:t>
            </w:r>
            <w:r w:rsidR="0044769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jā</w:t>
            </w:r>
            <w:r w:rsidR="00447698" w:rsidRPr="0044769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pierāda, ka piedāvājums apmierina pasūtītāja prasības, kas izteiktas tehniskajās specifikācij</w:t>
            </w:r>
            <w:r w:rsidR="0044769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ā</w:t>
            </w:r>
            <w:r w:rsidR="00447698" w:rsidRPr="0044769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 un darba apjomos</w:t>
            </w:r>
            <w:r w:rsidR="0021087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. Komisija vērtēs </w:t>
            </w:r>
            <w:r w:rsidR="00E6395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Pretendenta piedāvāto gaismekli pēc šādiem kritērijiem:</w:t>
            </w:r>
          </w:p>
          <w:p w14:paraId="61BDCC71" w14:textId="77777777" w:rsidR="00E63957" w:rsidRDefault="00210876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969"/>
              <w:gridCol w:w="3736"/>
            </w:tblGrid>
            <w:tr w:rsidR="00E63957" w:rsidRPr="00E63957" w14:paraId="58ABB7C2" w14:textId="77777777" w:rsidTr="007A0C93">
              <w:tc>
                <w:tcPr>
                  <w:tcW w:w="817" w:type="dxa"/>
                </w:tcPr>
                <w:p w14:paraId="4958F7FF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sv-SE"/>
                    </w:rPr>
                  </w:pPr>
                  <w:bookmarkStart w:id="5" w:name="_GoBack" w:colFirst="2" w:colLast="2"/>
                  <w:r w:rsidRPr="00E63957">
                    <w:rPr>
                      <w:rFonts w:ascii="Arial" w:hAnsi="Arial" w:cs="Arial"/>
                      <w:b/>
                      <w:sz w:val="20"/>
                      <w:szCs w:val="20"/>
                      <w:lang w:eastAsia="sv-SE"/>
                    </w:rPr>
                    <w:t>Nr. p/k</w:t>
                  </w:r>
                </w:p>
              </w:tc>
              <w:tc>
                <w:tcPr>
                  <w:tcW w:w="3969" w:type="dxa"/>
                </w:tcPr>
                <w:p w14:paraId="752ECF85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b/>
                      <w:sz w:val="20"/>
                      <w:szCs w:val="20"/>
                      <w:lang w:eastAsia="sv-SE"/>
                    </w:rPr>
                    <w:t>Gaismekļa tehniskais parametrs</w:t>
                  </w:r>
                </w:p>
              </w:tc>
              <w:tc>
                <w:tcPr>
                  <w:tcW w:w="3736" w:type="dxa"/>
                </w:tcPr>
                <w:p w14:paraId="1FDC1203" w14:textId="77777777" w:rsidR="00E63957" w:rsidRPr="00E63957" w:rsidRDefault="00E63957" w:rsidP="00EA0238">
                  <w:pPr>
                    <w:ind w:right="41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b/>
                      <w:sz w:val="20"/>
                      <w:szCs w:val="20"/>
                      <w:lang w:eastAsia="sv-SE"/>
                    </w:rPr>
                    <w:t>LED gaismekļa tehniskās prasības</w:t>
                  </w:r>
                </w:p>
              </w:tc>
            </w:tr>
            <w:bookmarkEnd w:id="5"/>
            <w:tr w:rsidR="00E63957" w:rsidRPr="00E63957" w14:paraId="077A8F81" w14:textId="77777777" w:rsidTr="007A0C93">
              <w:tc>
                <w:tcPr>
                  <w:tcW w:w="817" w:type="dxa"/>
                </w:tcPr>
                <w:p w14:paraId="4EB56FEF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14:paraId="2193F13A" w14:textId="77777777" w:rsidR="00E63957" w:rsidRPr="00E63957" w:rsidRDefault="00E63957" w:rsidP="00E63957">
                  <w:pPr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Gaismekļa avota tips</w:t>
                  </w:r>
                </w:p>
              </w:tc>
              <w:tc>
                <w:tcPr>
                  <w:tcW w:w="3736" w:type="dxa"/>
                </w:tcPr>
                <w:p w14:paraId="439A09E6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LED (gaismas diodes)</w:t>
                  </w:r>
                </w:p>
              </w:tc>
            </w:tr>
            <w:tr w:rsidR="00E63957" w:rsidRPr="00E63957" w14:paraId="233E5436" w14:textId="77777777" w:rsidTr="007A0C93">
              <w:tc>
                <w:tcPr>
                  <w:tcW w:w="817" w:type="dxa"/>
                </w:tcPr>
                <w:p w14:paraId="03DFFE44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14:paraId="432A253C" w14:textId="77777777" w:rsidR="00E63957" w:rsidRPr="00E63957" w:rsidRDefault="00E63957" w:rsidP="00E63957">
                  <w:pPr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 xml:space="preserve">Gaismekļa jauda ne lielāka kā </w:t>
                  </w:r>
                </w:p>
              </w:tc>
              <w:tc>
                <w:tcPr>
                  <w:tcW w:w="3736" w:type="dxa"/>
                </w:tcPr>
                <w:p w14:paraId="42E340EB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35 W</w:t>
                  </w:r>
                </w:p>
              </w:tc>
            </w:tr>
            <w:tr w:rsidR="00E63957" w:rsidRPr="00E63957" w14:paraId="7A5F4040" w14:textId="77777777" w:rsidTr="007A0C93">
              <w:tc>
                <w:tcPr>
                  <w:tcW w:w="817" w:type="dxa"/>
                </w:tcPr>
                <w:p w14:paraId="2931511E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14:paraId="6401B9E6" w14:textId="77777777" w:rsidR="00E63957" w:rsidRPr="00E63957" w:rsidRDefault="00E63957" w:rsidP="00E63957">
                  <w:pPr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Gaismekļa gaismas krāsu temperatūra ne lielāka kā</w:t>
                  </w:r>
                </w:p>
              </w:tc>
              <w:tc>
                <w:tcPr>
                  <w:tcW w:w="3736" w:type="dxa"/>
                </w:tcPr>
                <w:p w14:paraId="314589C4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3000 K</w:t>
                  </w:r>
                </w:p>
                <w:p w14:paraId="53C2FC8B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E63957" w:rsidRPr="00E63957" w14:paraId="583468F3" w14:textId="77777777" w:rsidTr="007A0C93">
              <w:tc>
                <w:tcPr>
                  <w:tcW w:w="817" w:type="dxa"/>
                </w:tcPr>
                <w:p w14:paraId="3330DCB3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14:paraId="748F85D5" w14:textId="77777777" w:rsidR="00E63957" w:rsidRPr="00E63957" w:rsidRDefault="00E63957" w:rsidP="00E63957">
                  <w:pPr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Gaismas krāsas izšķirtspēja (CRI), ne mazāka kā</w:t>
                  </w:r>
                </w:p>
              </w:tc>
              <w:tc>
                <w:tcPr>
                  <w:tcW w:w="3736" w:type="dxa"/>
                </w:tcPr>
                <w:p w14:paraId="410E2F2B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70</w:t>
                  </w:r>
                </w:p>
              </w:tc>
            </w:tr>
            <w:tr w:rsidR="00E63957" w:rsidRPr="00E63957" w14:paraId="6ECF8E90" w14:textId="77777777" w:rsidTr="007A0C93">
              <w:tc>
                <w:tcPr>
                  <w:tcW w:w="817" w:type="dxa"/>
                </w:tcPr>
                <w:p w14:paraId="6DAB146E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14:paraId="573BBE37" w14:textId="77777777" w:rsidR="00E63957" w:rsidRPr="00E63957" w:rsidRDefault="00E63957" w:rsidP="00E63957">
                  <w:pPr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 xml:space="preserve">Gaismekļa augstums h ne mazāks kā </w:t>
                  </w:r>
                </w:p>
              </w:tc>
              <w:tc>
                <w:tcPr>
                  <w:tcW w:w="3736" w:type="dxa"/>
                </w:tcPr>
                <w:p w14:paraId="29FD205E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 xml:space="preserve"> 0,7 m </w:t>
                  </w:r>
                </w:p>
              </w:tc>
            </w:tr>
            <w:tr w:rsidR="00E63957" w:rsidRPr="00E63957" w14:paraId="412E1521" w14:textId="77777777" w:rsidTr="007A0C93">
              <w:tc>
                <w:tcPr>
                  <w:tcW w:w="817" w:type="dxa"/>
                </w:tcPr>
                <w:p w14:paraId="2B9D110A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3969" w:type="dxa"/>
                </w:tcPr>
                <w:p w14:paraId="43A387AC" w14:textId="77777777" w:rsidR="00E63957" w:rsidRPr="00E63957" w:rsidRDefault="00E63957" w:rsidP="00E63957">
                  <w:pPr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 xml:space="preserve">Gaismekļa augstums h ne lielāks kā </w:t>
                  </w:r>
                </w:p>
              </w:tc>
              <w:tc>
                <w:tcPr>
                  <w:tcW w:w="3736" w:type="dxa"/>
                </w:tcPr>
                <w:p w14:paraId="73989F8F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1 m</w:t>
                  </w:r>
                </w:p>
              </w:tc>
            </w:tr>
            <w:tr w:rsidR="00E63957" w:rsidRPr="00E63957" w14:paraId="2182CCD0" w14:textId="77777777" w:rsidTr="007A0C93">
              <w:tc>
                <w:tcPr>
                  <w:tcW w:w="817" w:type="dxa"/>
                </w:tcPr>
                <w:p w14:paraId="1FED6749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14:paraId="71A01C41" w14:textId="77777777" w:rsidR="00E63957" w:rsidRPr="00E63957" w:rsidRDefault="00E63957" w:rsidP="00E63957">
                  <w:pPr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 xml:space="preserve">Diametrs d ne lielāks kā </w:t>
                  </w:r>
                </w:p>
              </w:tc>
              <w:tc>
                <w:tcPr>
                  <w:tcW w:w="3736" w:type="dxa"/>
                </w:tcPr>
                <w:p w14:paraId="2668E76B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0,2 m</w:t>
                  </w:r>
                </w:p>
              </w:tc>
            </w:tr>
            <w:tr w:rsidR="00E63957" w:rsidRPr="00E63957" w14:paraId="6F1861DA" w14:textId="77777777" w:rsidTr="007A0C93">
              <w:tc>
                <w:tcPr>
                  <w:tcW w:w="817" w:type="dxa"/>
                </w:tcPr>
                <w:p w14:paraId="31F81258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3969" w:type="dxa"/>
                </w:tcPr>
                <w:p w14:paraId="14E47816" w14:textId="77777777" w:rsidR="00E63957" w:rsidRPr="00E63957" w:rsidRDefault="00E63957" w:rsidP="00E63957">
                  <w:pPr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Gaismekļa aizsardzības klase (IP)</w:t>
                  </w:r>
                </w:p>
              </w:tc>
              <w:tc>
                <w:tcPr>
                  <w:tcW w:w="3736" w:type="dxa"/>
                </w:tcPr>
                <w:p w14:paraId="1BDFADB9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IP66</w:t>
                  </w:r>
                </w:p>
              </w:tc>
            </w:tr>
            <w:tr w:rsidR="00E63957" w:rsidRPr="00E63957" w14:paraId="2557C218" w14:textId="77777777" w:rsidTr="007A0C93">
              <w:tc>
                <w:tcPr>
                  <w:tcW w:w="817" w:type="dxa"/>
                </w:tcPr>
                <w:p w14:paraId="156EEB9F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3969" w:type="dxa"/>
                </w:tcPr>
                <w:p w14:paraId="5B51FD50" w14:textId="77777777" w:rsidR="00E63957" w:rsidRPr="00E63957" w:rsidRDefault="00E63957" w:rsidP="00E63957">
                  <w:pPr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Gaismekļa triecienizturības klase (IK)</w:t>
                  </w:r>
                </w:p>
              </w:tc>
              <w:tc>
                <w:tcPr>
                  <w:tcW w:w="3736" w:type="dxa"/>
                </w:tcPr>
                <w:p w14:paraId="736FDBFF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IK08</w:t>
                  </w:r>
                </w:p>
              </w:tc>
            </w:tr>
            <w:tr w:rsidR="00E63957" w:rsidRPr="00E63957" w14:paraId="73D893FA" w14:textId="77777777" w:rsidTr="007A0C93">
              <w:tc>
                <w:tcPr>
                  <w:tcW w:w="817" w:type="dxa"/>
                </w:tcPr>
                <w:p w14:paraId="32BDE152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3969" w:type="dxa"/>
                </w:tcPr>
                <w:p w14:paraId="3979CF05" w14:textId="77777777" w:rsidR="00E63957" w:rsidRPr="00E63957" w:rsidRDefault="00E63957" w:rsidP="00E63957">
                  <w:pPr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Gaismekļa korpusa krāsa</w:t>
                  </w:r>
                </w:p>
              </w:tc>
              <w:tc>
                <w:tcPr>
                  <w:tcW w:w="3736" w:type="dxa"/>
                </w:tcPr>
                <w:p w14:paraId="1107D08E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Pelēka</w:t>
                  </w:r>
                </w:p>
              </w:tc>
            </w:tr>
            <w:tr w:rsidR="00E63957" w:rsidRPr="00E63957" w14:paraId="411BCD90" w14:textId="77777777" w:rsidTr="007A0C93">
              <w:tc>
                <w:tcPr>
                  <w:tcW w:w="817" w:type="dxa"/>
                </w:tcPr>
                <w:p w14:paraId="56B1C718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3969" w:type="dxa"/>
                </w:tcPr>
                <w:p w14:paraId="7D2FC57F" w14:textId="77777777" w:rsidR="00E63957" w:rsidRPr="00E63957" w:rsidRDefault="00E63957" w:rsidP="00E63957">
                  <w:pPr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Darba temperatūra, ne sliktāk kā</w:t>
                  </w:r>
                </w:p>
              </w:tc>
              <w:tc>
                <w:tcPr>
                  <w:tcW w:w="3736" w:type="dxa"/>
                </w:tcPr>
                <w:p w14:paraId="2CB89AEA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-25°C - +30°C</w:t>
                  </w:r>
                </w:p>
              </w:tc>
            </w:tr>
            <w:tr w:rsidR="00E63957" w:rsidRPr="00E63957" w14:paraId="15634B96" w14:textId="77777777" w:rsidTr="007A0C93">
              <w:tc>
                <w:tcPr>
                  <w:tcW w:w="817" w:type="dxa"/>
                </w:tcPr>
                <w:p w14:paraId="62A9DCE2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3969" w:type="dxa"/>
                </w:tcPr>
                <w:p w14:paraId="298BC68F" w14:textId="77777777" w:rsidR="00E63957" w:rsidRPr="00E63957" w:rsidRDefault="00E63957" w:rsidP="00E63957">
                  <w:pPr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Barošanas darba sprieguma diapazons, nominālais</w:t>
                  </w:r>
                </w:p>
              </w:tc>
              <w:tc>
                <w:tcPr>
                  <w:tcW w:w="3736" w:type="dxa"/>
                </w:tcPr>
                <w:p w14:paraId="724D2A79" w14:textId="77777777" w:rsidR="00E63957" w:rsidRPr="00E63957" w:rsidRDefault="00E63957" w:rsidP="00E63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</w:pPr>
                  <w:r w:rsidRPr="00E63957">
                    <w:rPr>
                      <w:rFonts w:ascii="Arial" w:hAnsi="Arial" w:cs="Arial"/>
                      <w:sz w:val="20"/>
                      <w:szCs w:val="20"/>
                      <w:lang w:eastAsia="sv-SE"/>
                    </w:rPr>
                    <w:t>220 ÷ 240V; 50Hz</w:t>
                  </w:r>
                </w:p>
              </w:tc>
            </w:tr>
          </w:tbl>
          <w:p w14:paraId="4F69B29E" w14:textId="77777777" w:rsidR="00101C50" w:rsidRDefault="00EA0238" w:rsidP="00210876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Ekvivalenta gaismekļa piemēru skatīt </w:t>
            </w:r>
            <w:hyperlink r:id="rId8" w:history="1">
              <w:r w:rsidRPr="00D7480F">
                <w:rPr>
                  <w:rStyle w:val="Hipersaite"/>
                  <w:rFonts w:ascii="Arial" w:hAnsi="Arial" w:cs="Arial"/>
                  <w:sz w:val="20"/>
                  <w:szCs w:val="20"/>
                  <w:lang w:eastAsia="en-US"/>
                </w:rPr>
                <w:t>https://www.arcluce.it/model/klou-ik180?f=10012&amp;v=10286&amp;m=76262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A210B9E" w14:textId="633DA82D" w:rsidR="00EA0238" w:rsidRPr="00F465E9" w:rsidRDefault="00EA0238" w:rsidP="00210876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657F" w:rsidRPr="00F465E9" w14:paraId="44E466E3" w14:textId="77777777" w:rsidTr="00E63957">
        <w:tc>
          <w:tcPr>
            <w:tcW w:w="9923" w:type="dxa"/>
            <w:gridSpan w:val="2"/>
            <w:shd w:val="clear" w:color="auto" w:fill="CCFFCC"/>
          </w:tcPr>
          <w:p w14:paraId="7EACC3E7" w14:textId="77777777" w:rsidR="00B4657F" w:rsidRPr="00DC52B1" w:rsidRDefault="00B4657F" w:rsidP="00032669">
            <w:pPr>
              <w:tabs>
                <w:tab w:val="left" w:pos="2552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</w:tc>
      </w:tr>
      <w:tr w:rsidR="00F465E9" w:rsidRPr="00F465E9" w14:paraId="79027C24" w14:textId="77777777" w:rsidTr="00E63957">
        <w:trPr>
          <w:trHeight w:val="879"/>
        </w:trPr>
        <w:tc>
          <w:tcPr>
            <w:tcW w:w="1809" w:type="dxa"/>
          </w:tcPr>
          <w:p w14:paraId="4D80ACFF" w14:textId="113929A6" w:rsidR="00F465E9" w:rsidRPr="00F465E9" w:rsidRDefault="00D52EB5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bookmarkStart w:id="6" w:name="_Hlk507760779"/>
            <w:bookmarkEnd w:id="1"/>
            <w:bookmarkEnd w:id="2"/>
            <w:bookmarkEnd w:id="3"/>
            <w:bookmarkEnd w:id="4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2.</w:t>
            </w:r>
            <w:r w:rsidR="00F465E9"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8114" w:type="dxa"/>
          </w:tcPr>
          <w:p w14:paraId="7A8FC842" w14:textId="600FACA1" w:rsidR="00F465E9" w:rsidRPr="00F465E9" w:rsidRDefault="00182E07" w:rsidP="00182E07">
            <w:pPr>
              <w:tabs>
                <w:tab w:val="left" w:pos="701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E07">
              <w:rPr>
                <w:rFonts w:ascii="Arial" w:hAnsi="Arial" w:cs="Arial"/>
                <w:sz w:val="20"/>
                <w:szCs w:val="20"/>
                <w:lang w:eastAsia="en-US"/>
              </w:rPr>
              <w:t>Lūgums precizēt, kādi darbi ietilpst Lokālās tāmes Nr.1.1._CD Poz.5.18 "Esošo žogu nostiprināšana būvniec</w:t>
            </w:r>
            <w:r w:rsidR="00101C50">
              <w:rPr>
                <w:rFonts w:ascii="Arial" w:hAnsi="Arial" w:cs="Arial"/>
                <w:sz w:val="20"/>
                <w:szCs w:val="20"/>
                <w:lang w:eastAsia="en-US"/>
              </w:rPr>
              <w:t>ī</w:t>
            </w:r>
            <w:r w:rsidRPr="00182E07">
              <w:rPr>
                <w:rFonts w:ascii="Arial" w:hAnsi="Arial" w:cs="Arial"/>
                <w:sz w:val="20"/>
                <w:szCs w:val="20"/>
                <w:lang w:eastAsia="en-US"/>
              </w:rPr>
              <w:t>bas laikā"?</w:t>
            </w:r>
          </w:p>
        </w:tc>
      </w:tr>
      <w:tr w:rsidR="00F465E9" w:rsidRPr="00F465E9" w14:paraId="45B0D340" w14:textId="77777777" w:rsidTr="00E63957">
        <w:tc>
          <w:tcPr>
            <w:tcW w:w="1809" w:type="dxa"/>
          </w:tcPr>
          <w:p w14:paraId="6F616E22" w14:textId="77777777" w:rsidR="00F465E9" w:rsidRPr="00F465E9" w:rsidRDefault="00F465E9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8114" w:type="dxa"/>
          </w:tcPr>
          <w:p w14:paraId="6567F725" w14:textId="77777777" w:rsidR="00101C50" w:rsidRPr="00101C50" w:rsidRDefault="00101C50" w:rsidP="00101C50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1C5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~Pk.1+70 un ~pk.2+60 atrodas esošās sētas. Pozīcijā ietilpst visi darbi un materiāli, kas nepieciešami, lai nostiprinātu sētu pret apgāšanos ietves būvniecības laikā (ierakuma izbūves laikā).</w:t>
            </w:r>
          </w:p>
          <w:p w14:paraId="608132B6" w14:textId="77777777" w:rsidR="00101C50" w:rsidRPr="00101C50" w:rsidRDefault="00101C50" w:rsidP="00101C50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E025545" w14:textId="31C454B2" w:rsidR="00F465E9" w:rsidRDefault="00101C50" w:rsidP="00101C50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1C5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Pirms būvdarbu uzsākšan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</w:t>
            </w:r>
            <w:r w:rsidRPr="00101C5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Pr="00101C5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veikt esošās sētas </w:t>
            </w:r>
            <w:proofErr w:type="spellStart"/>
            <w:r w:rsidRPr="00101C5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fotofiksāciju</w:t>
            </w:r>
            <w:proofErr w:type="spellEnd"/>
            <w:r w:rsidRPr="00101C5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lai pēc ietves seguma izbūves varētu pārliecināties, ka 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ē</w:t>
            </w:r>
            <w:r w:rsidRPr="00101C5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 nav bojāta vai pasliktināta esošā situācija.</w:t>
            </w:r>
          </w:p>
          <w:p w14:paraId="0F2626F2" w14:textId="751ED9EF" w:rsidR="00101C50" w:rsidRPr="00F465E9" w:rsidRDefault="00101C50" w:rsidP="00101C50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B9BA20E" wp14:editId="238FF89C">
                  <wp:extent cx="3615690" cy="2714930"/>
                  <wp:effectExtent l="0" t="0" r="3810" b="9525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305" cy="272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5E9" w:rsidRPr="00F465E9" w14:paraId="79D8E229" w14:textId="77777777" w:rsidTr="00E63957">
        <w:tc>
          <w:tcPr>
            <w:tcW w:w="9923" w:type="dxa"/>
            <w:gridSpan w:val="2"/>
            <w:shd w:val="clear" w:color="auto" w:fill="CCFFCC"/>
          </w:tcPr>
          <w:p w14:paraId="2BA52714" w14:textId="77777777" w:rsidR="00F465E9" w:rsidRPr="00DC52B1" w:rsidRDefault="00F465E9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bookmarkEnd w:id="6"/>
    </w:tbl>
    <w:p w14:paraId="7E7997DC" w14:textId="77777777" w:rsidR="006376F6" w:rsidRPr="00B4657F" w:rsidRDefault="006376F6" w:rsidP="00032669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sectPr w:rsidR="006376F6" w:rsidRPr="00B4657F" w:rsidSect="00032669">
      <w:headerReference w:type="default" r:id="rId10"/>
      <w:footerReference w:type="default" r:id="rId11"/>
      <w:headerReference w:type="first" r:id="rId12"/>
      <w:pgSz w:w="11906" w:h="16838"/>
      <w:pgMar w:top="851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C077" w14:textId="77777777" w:rsidR="00A22426" w:rsidRDefault="00A22426" w:rsidP="009258C8">
      <w:r>
        <w:separator/>
      </w:r>
    </w:p>
  </w:endnote>
  <w:endnote w:type="continuationSeparator" w:id="0">
    <w:p w14:paraId="3A2AC583" w14:textId="77777777" w:rsidR="00A22426" w:rsidRDefault="00A22426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715269"/>
      <w:docPartObj>
        <w:docPartGallery w:val="Page Numbers (Bottom of Page)"/>
        <w:docPartUnique/>
      </w:docPartObj>
    </w:sdtPr>
    <w:sdtEndPr/>
    <w:sdtContent>
      <w:p w14:paraId="7AAD817D" w14:textId="554C0C20" w:rsidR="000F2912" w:rsidRDefault="000F291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31DE" w14:textId="6EB4227E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2B96" w14:textId="77777777" w:rsidR="00A22426" w:rsidRDefault="00A22426" w:rsidP="009258C8">
      <w:r>
        <w:separator/>
      </w:r>
    </w:p>
  </w:footnote>
  <w:footnote w:type="continuationSeparator" w:id="0">
    <w:p w14:paraId="0C62699E" w14:textId="77777777" w:rsidR="00A22426" w:rsidRDefault="00A22426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0489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57CC" w14:textId="065F8032" w:rsidR="00EB209C" w:rsidRPr="00AE2B38" w:rsidRDefault="00685EC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6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809"/>
    <w:multiLevelType w:val="hybridMultilevel"/>
    <w:tmpl w:val="0B8A3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DBF6C53"/>
    <w:multiLevelType w:val="multilevel"/>
    <w:tmpl w:val="17B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6"/>
  </w:num>
  <w:num w:numId="9">
    <w:abstractNumId w:val="6"/>
  </w:num>
  <w:num w:numId="10">
    <w:abstractNumId w:val="5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5318"/>
    <w:rsid w:val="0001269C"/>
    <w:rsid w:val="000148CA"/>
    <w:rsid w:val="000212D5"/>
    <w:rsid w:val="000246E3"/>
    <w:rsid w:val="00032669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0D24"/>
    <w:rsid w:val="000C6C0F"/>
    <w:rsid w:val="000C6F96"/>
    <w:rsid w:val="000D173B"/>
    <w:rsid w:val="000D60B6"/>
    <w:rsid w:val="000E2068"/>
    <w:rsid w:val="000F232A"/>
    <w:rsid w:val="000F2912"/>
    <w:rsid w:val="000F2AAC"/>
    <w:rsid w:val="000F5CE6"/>
    <w:rsid w:val="000F761E"/>
    <w:rsid w:val="000F7E92"/>
    <w:rsid w:val="001002D7"/>
    <w:rsid w:val="00101C50"/>
    <w:rsid w:val="00116EAC"/>
    <w:rsid w:val="00120BDB"/>
    <w:rsid w:val="00122BBD"/>
    <w:rsid w:val="00126735"/>
    <w:rsid w:val="00133187"/>
    <w:rsid w:val="00133287"/>
    <w:rsid w:val="0013367A"/>
    <w:rsid w:val="00137A06"/>
    <w:rsid w:val="00142C09"/>
    <w:rsid w:val="0014680E"/>
    <w:rsid w:val="00155DC8"/>
    <w:rsid w:val="00165C38"/>
    <w:rsid w:val="00170F74"/>
    <w:rsid w:val="0017391A"/>
    <w:rsid w:val="0017483F"/>
    <w:rsid w:val="00175F38"/>
    <w:rsid w:val="00182E07"/>
    <w:rsid w:val="00183F4A"/>
    <w:rsid w:val="00190FFF"/>
    <w:rsid w:val="00193F8A"/>
    <w:rsid w:val="001979CE"/>
    <w:rsid w:val="001A0F4A"/>
    <w:rsid w:val="001A1CF4"/>
    <w:rsid w:val="001A2F50"/>
    <w:rsid w:val="001A7DD9"/>
    <w:rsid w:val="001B0DCB"/>
    <w:rsid w:val="001C29B2"/>
    <w:rsid w:val="001D64EF"/>
    <w:rsid w:val="001D6E78"/>
    <w:rsid w:val="001E10BE"/>
    <w:rsid w:val="001E6C76"/>
    <w:rsid w:val="001F0C1D"/>
    <w:rsid w:val="001F5D9A"/>
    <w:rsid w:val="00200FA6"/>
    <w:rsid w:val="00202C90"/>
    <w:rsid w:val="00203942"/>
    <w:rsid w:val="00210876"/>
    <w:rsid w:val="002127F0"/>
    <w:rsid w:val="00241932"/>
    <w:rsid w:val="0024293C"/>
    <w:rsid w:val="00242DBA"/>
    <w:rsid w:val="00253EA0"/>
    <w:rsid w:val="002607C8"/>
    <w:rsid w:val="00264CAB"/>
    <w:rsid w:val="002652A2"/>
    <w:rsid w:val="0027523D"/>
    <w:rsid w:val="00277C93"/>
    <w:rsid w:val="002809D3"/>
    <w:rsid w:val="00287469"/>
    <w:rsid w:val="00290F67"/>
    <w:rsid w:val="00295DBD"/>
    <w:rsid w:val="002A30A3"/>
    <w:rsid w:val="002A4B70"/>
    <w:rsid w:val="002A71F7"/>
    <w:rsid w:val="002B4A91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17BE5"/>
    <w:rsid w:val="0033228A"/>
    <w:rsid w:val="00335FE5"/>
    <w:rsid w:val="00336E01"/>
    <w:rsid w:val="0033774C"/>
    <w:rsid w:val="00337C9D"/>
    <w:rsid w:val="003418D6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BAA"/>
    <w:rsid w:val="00426CAC"/>
    <w:rsid w:val="00426CD6"/>
    <w:rsid w:val="00426D9B"/>
    <w:rsid w:val="00426F2E"/>
    <w:rsid w:val="00431511"/>
    <w:rsid w:val="00433ED2"/>
    <w:rsid w:val="00436C14"/>
    <w:rsid w:val="0044260F"/>
    <w:rsid w:val="00447698"/>
    <w:rsid w:val="00451FAD"/>
    <w:rsid w:val="00471357"/>
    <w:rsid w:val="004722D9"/>
    <w:rsid w:val="00472A30"/>
    <w:rsid w:val="00480FCA"/>
    <w:rsid w:val="00483745"/>
    <w:rsid w:val="00486A8E"/>
    <w:rsid w:val="00486D6F"/>
    <w:rsid w:val="0049522F"/>
    <w:rsid w:val="004975A3"/>
    <w:rsid w:val="004A0F85"/>
    <w:rsid w:val="004B4A7F"/>
    <w:rsid w:val="004C530E"/>
    <w:rsid w:val="004D07E4"/>
    <w:rsid w:val="004D4550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33BE"/>
    <w:rsid w:val="005B5760"/>
    <w:rsid w:val="005B5B18"/>
    <w:rsid w:val="005C1FD9"/>
    <w:rsid w:val="005D255D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236F1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2B91"/>
    <w:rsid w:val="00672E78"/>
    <w:rsid w:val="00682E66"/>
    <w:rsid w:val="0068443A"/>
    <w:rsid w:val="00685EC7"/>
    <w:rsid w:val="00685F30"/>
    <w:rsid w:val="00686A00"/>
    <w:rsid w:val="006922BF"/>
    <w:rsid w:val="0069314B"/>
    <w:rsid w:val="00694433"/>
    <w:rsid w:val="006A0E36"/>
    <w:rsid w:val="006B2C66"/>
    <w:rsid w:val="006B31A1"/>
    <w:rsid w:val="006C69D2"/>
    <w:rsid w:val="006D0D39"/>
    <w:rsid w:val="006D4FBC"/>
    <w:rsid w:val="006D5EF7"/>
    <w:rsid w:val="006D632F"/>
    <w:rsid w:val="006E5122"/>
    <w:rsid w:val="006E7097"/>
    <w:rsid w:val="006F4F03"/>
    <w:rsid w:val="006F7D94"/>
    <w:rsid w:val="00704F88"/>
    <w:rsid w:val="007056F9"/>
    <w:rsid w:val="0070791A"/>
    <w:rsid w:val="00710081"/>
    <w:rsid w:val="0072778E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D4EA5"/>
    <w:rsid w:val="007E114D"/>
    <w:rsid w:val="007E130B"/>
    <w:rsid w:val="007F17A7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6E7E"/>
    <w:rsid w:val="008A3384"/>
    <w:rsid w:val="008A65EA"/>
    <w:rsid w:val="008B10F6"/>
    <w:rsid w:val="008B4511"/>
    <w:rsid w:val="008C786C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C5B"/>
    <w:rsid w:val="00943B9B"/>
    <w:rsid w:val="009440E9"/>
    <w:rsid w:val="009450F0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931B0"/>
    <w:rsid w:val="00993B83"/>
    <w:rsid w:val="00993E99"/>
    <w:rsid w:val="009A166C"/>
    <w:rsid w:val="009A231C"/>
    <w:rsid w:val="009A3836"/>
    <w:rsid w:val="009A5617"/>
    <w:rsid w:val="009B2ED3"/>
    <w:rsid w:val="009B53A3"/>
    <w:rsid w:val="009B56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2426"/>
    <w:rsid w:val="00A24696"/>
    <w:rsid w:val="00A25642"/>
    <w:rsid w:val="00A27DB1"/>
    <w:rsid w:val="00A43292"/>
    <w:rsid w:val="00A55CAE"/>
    <w:rsid w:val="00A56EAF"/>
    <w:rsid w:val="00A72CAC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1CEF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7E80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6A5F"/>
    <w:rsid w:val="00CA70B1"/>
    <w:rsid w:val="00CB7C80"/>
    <w:rsid w:val="00CD1907"/>
    <w:rsid w:val="00CD20D3"/>
    <w:rsid w:val="00CE38D6"/>
    <w:rsid w:val="00CE58FC"/>
    <w:rsid w:val="00CE7E57"/>
    <w:rsid w:val="00CF05C5"/>
    <w:rsid w:val="00CF2F6F"/>
    <w:rsid w:val="00CF74E4"/>
    <w:rsid w:val="00D03C2E"/>
    <w:rsid w:val="00D1697F"/>
    <w:rsid w:val="00D25DF2"/>
    <w:rsid w:val="00D436CA"/>
    <w:rsid w:val="00D52EB5"/>
    <w:rsid w:val="00D63773"/>
    <w:rsid w:val="00D65789"/>
    <w:rsid w:val="00D73524"/>
    <w:rsid w:val="00D7566E"/>
    <w:rsid w:val="00D85128"/>
    <w:rsid w:val="00D8526D"/>
    <w:rsid w:val="00D95963"/>
    <w:rsid w:val="00DB58CA"/>
    <w:rsid w:val="00DC04D3"/>
    <w:rsid w:val="00DC37D9"/>
    <w:rsid w:val="00DC52B1"/>
    <w:rsid w:val="00DD320A"/>
    <w:rsid w:val="00DD3CA1"/>
    <w:rsid w:val="00DD448B"/>
    <w:rsid w:val="00DE53A4"/>
    <w:rsid w:val="00DF489E"/>
    <w:rsid w:val="00DF6B01"/>
    <w:rsid w:val="00DF7405"/>
    <w:rsid w:val="00E1321C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62453"/>
    <w:rsid w:val="00E6297F"/>
    <w:rsid w:val="00E63957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0238"/>
    <w:rsid w:val="00EA229C"/>
    <w:rsid w:val="00EB0F00"/>
    <w:rsid w:val="00EB209C"/>
    <w:rsid w:val="00EB5401"/>
    <w:rsid w:val="00ED3FE4"/>
    <w:rsid w:val="00EE026C"/>
    <w:rsid w:val="00EE20D2"/>
    <w:rsid w:val="00EE7891"/>
    <w:rsid w:val="00EF0A80"/>
    <w:rsid w:val="00EF0FFD"/>
    <w:rsid w:val="00F00003"/>
    <w:rsid w:val="00F14D7E"/>
    <w:rsid w:val="00F26A2A"/>
    <w:rsid w:val="00F274BF"/>
    <w:rsid w:val="00F30DB7"/>
    <w:rsid w:val="00F44FBD"/>
    <w:rsid w:val="00F465E9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3792"/>
    <w:rsid w:val="00F7571A"/>
    <w:rsid w:val="00F82B76"/>
    <w:rsid w:val="00F86827"/>
    <w:rsid w:val="00F968BE"/>
    <w:rsid w:val="00FA4686"/>
    <w:rsid w:val="00FA7F76"/>
    <w:rsid w:val="00FB23EF"/>
    <w:rsid w:val="00FD02AC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79D389"/>
  <w15:docId w15:val="{4488517D-E1A3-4DB7-B8E9-F2A45D5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  <w:style w:type="character" w:styleId="Neatrisintapieminana">
    <w:name w:val="Unresolved Mention"/>
    <w:basedOn w:val="Noklusjumarindkopasfonts"/>
    <w:uiPriority w:val="99"/>
    <w:semiHidden/>
    <w:unhideWhenUsed/>
    <w:rsid w:val="00EA0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luce.it/model/klou-ik180?f=10012&amp;v=10286&amp;m=762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6C3B-9B4A-4E82-9DA0-B2976689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1473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Baiba Akmentina-Cernecova</cp:lastModifiedBy>
  <cp:revision>13</cp:revision>
  <cp:lastPrinted>2019-01-14T06:49:00Z</cp:lastPrinted>
  <dcterms:created xsi:type="dcterms:W3CDTF">2019-01-08T15:20:00Z</dcterms:created>
  <dcterms:modified xsi:type="dcterms:W3CDTF">2019-01-16T09:59:00Z</dcterms:modified>
</cp:coreProperties>
</file>