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052E" w14:textId="77777777" w:rsidR="000F232A" w:rsidRPr="00B4657F" w:rsidRDefault="000F232A" w:rsidP="000326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14052" w14:textId="77777777" w:rsidR="00B4657F" w:rsidRPr="001D6E78" w:rsidRDefault="00B4657F" w:rsidP="000326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1D6E78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1D6E78" w:rsidRDefault="00B4657F" w:rsidP="000326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17616375" w14:textId="4982C9D1" w:rsidR="00B4657F" w:rsidRPr="00B4657F" w:rsidRDefault="00B4657F" w:rsidP="000326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 xml:space="preserve"> 201</w:t>
      </w:r>
      <w:r w:rsidR="002B4A91">
        <w:rPr>
          <w:rFonts w:ascii="Arial" w:hAnsi="Arial" w:cs="Arial"/>
          <w:bCs/>
          <w:sz w:val="20"/>
          <w:szCs w:val="20"/>
        </w:rPr>
        <w:t>9</w:t>
      </w:r>
      <w:r w:rsidRPr="001D6E78">
        <w:rPr>
          <w:rFonts w:ascii="Arial" w:hAnsi="Arial" w:cs="Arial"/>
          <w:bCs/>
          <w:sz w:val="20"/>
          <w:szCs w:val="20"/>
        </w:rPr>
        <w:t>.gada</w:t>
      </w:r>
      <w:r w:rsidR="00B379B5">
        <w:rPr>
          <w:rFonts w:ascii="Arial" w:hAnsi="Arial" w:cs="Arial"/>
          <w:bCs/>
          <w:sz w:val="20"/>
          <w:szCs w:val="20"/>
        </w:rPr>
        <w:t xml:space="preserve"> </w:t>
      </w:r>
      <w:r w:rsidR="002B4A91">
        <w:rPr>
          <w:rFonts w:ascii="Arial" w:hAnsi="Arial" w:cs="Arial"/>
          <w:bCs/>
          <w:sz w:val="20"/>
          <w:szCs w:val="20"/>
        </w:rPr>
        <w:t>9</w:t>
      </w:r>
      <w:r w:rsidRPr="001D6E78">
        <w:rPr>
          <w:rFonts w:ascii="Arial" w:hAnsi="Arial" w:cs="Arial"/>
          <w:bCs/>
          <w:sz w:val="20"/>
          <w:szCs w:val="20"/>
        </w:rPr>
        <w:t>.</w:t>
      </w:r>
      <w:r w:rsidR="002B4A91">
        <w:rPr>
          <w:rFonts w:ascii="Arial" w:hAnsi="Arial" w:cs="Arial"/>
          <w:bCs/>
          <w:sz w:val="20"/>
          <w:szCs w:val="20"/>
        </w:rPr>
        <w:t>janvā</w:t>
      </w:r>
      <w:r w:rsidR="006922BF">
        <w:rPr>
          <w:rFonts w:ascii="Arial" w:hAnsi="Arial" w:cs="Arial"/>
          <w:bCs/>
          <w:sz w:val="20"/>
          <w:szCs w:val="20"/>
        </w:rPr>
        <w:t xml:space="preserve">ra </w:t>
      </w:r>
      <w:r w:rsidRPr="001D6E78">
        <w:rPr>
          <w:rFonts w:ascii="Arial" w:hAnsi="Arial" w:cs="Arial"/>
          <w:bCs/>
          <w:sz w:val="20"/>
          <w:szCs w:val="20"/>
        </w:rPr>
        <w:t>sēdē, protokols Nr.</w:t>
      </w:r>
      <w:r w:rsidR="0056331F">
        <w:rPr>
          <w:rFonts w:ascii="Arial" w:hAnsi="Arial" w:cs="Arial"/>
          <w:bCs/>
          <w:sz w:val="20"/>
          <w:szCs w:val="20"/>
        </w:rPr>
        <w:t>2</w:t>
      </w:r>
      <w:r w:rsidRPr="00B4657F">
        <w:rPr>
          <w:rFonts w:ascii="Arial" w:hAnsi="Arial" w:cs="Arial"/>
          <w:bCs/>
          <w:sz w:val="20"/>
          <w:szCs w:val="20"/>
        </w:rPr>
        <w:t xml:space="preserve"> </w:t>
      </w:r>
    </w:p>
    <w:p w14:paraId="06F0F9F4" w14:textId="77777777" w:rsidR="00B4657F" w:rsidRDefault="00B4657F" w:rsidP="0003266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0ADC08F" w14:textId="77777777" w:rsidR="0070791A" w:rsidRDefault="0070791A" w:rsidP="0003266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C6E80E3" w14:textId="77777777" w:rsidR="0070791A" w:rsidRDefault="0070791A" w:rsidP="0003266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D350486" w14:textId="77777777" w:rsidR="0070791A" w:rsidRDefault="0070791A" w:rsidP="0003266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E8A7A74" w14:textId="14B2FD72" w:rsidR="00B4657F" w:rsidRPr="00F465E9" w:rsidRDefault="00B4657F" w:rsidP="0003266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4657F">
        <w:rPr>
          <w:rFonts w:ascii="Arial" w:hAnsi="Arial" w:cs="Arial"/>
          <w:b/>
          <w:sz w:val="20"/>
          <w:szCs w:val="20"/>
          <w:lang w:eastAsia="en-US"/>
        </w:rPr>
        <w:t xml:space="preserve">Par </w:t>
      </w:r>
      <w:r w:rsidR="0056331F">
        <w:rPr>
          <w:rFonts w:ascii="Arial" w:hAnsi="Arial" w:cs="Arial"/>
          <w:b/>
          <w:sz w:val="20"/>
          <w:szCs w:val="20"/>
          <w:lang w:eastAsia="en-US"/>
        </w:rPr>
        <w:t>atklāta konkursa</w:t>
      </w:r>
      <w:r w:rsidRPr="00B4657F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4657F">
        <w:rPr>
          <w:rFonts w:ascii="Arial" w:eastAsia="Calibri" w:hAnsi="Arial" w:cs="Arial"/>
          <w:b/>
          <w:i/>
          <w:sz w:val="20"/>
          <w:szCs w:val="20"/>
          <w:lang w:eastAsia="en-US"/>
        </w:rPr>
        <w:t>“</w:t>
      </w:r>
      <w:bookmarkStart w:id="0" w:name="_Hlk488915499"/>
      <w:r w:rsidR="00F465E9" w:rsidRPr="001E77CA">
        <w:rPr>
          <w:rFonts w:ascii="Arial" w:hAnsi="Arial" w:cs="Arial"/>
          <w:b/>
          <w:sz w:val="20"/>
          <w:szCs w:val="20"/>
          <w:u w:val="single"/>
        </w:rPr>
        <w:t>Par tiesībām veikt būvdarbus objektā “Peldu ielas pārbūve posmā no Liepu ielas līdz Kūrmājas prospektam, Liepājā, 1.un 2.kārta”</w:t>
      </w:r>
      <w:bookmarkEnd w:id="0"/>
      <w:r w:rsidR="00BE0445">
        <w:rPr>
          <w:rFonts w:ascii="Arial" w:eastAsia="Calibri" w:hAnsi="Arial" w:cs="Arial"/>
          <w:b/>
          <w:i/>
          <w:sz w:val="20"/>
          <w:szCs w:val="20"/>
          <w:lang w:eastAsia="en-US"/>
        </w:rPr>
        <w:t>”</w:t>
      </w:r>
      <w:r w:rsidR="00BE0445" w:rsidRPr="00BE0445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B4657F">
        <w:rPr>
          <w:rFonts w:ascii="Arial" w:eastAsia="Calibri" w:hAnsi="Arial" w:cs="Arial"/>
          <w:bCs/>
          <w:sz w:val="20"/>
          <w:szCs w:val="20"/>
          <w:lang w:eastAsia="en-US"/>
        </w:rPr>
        <w:t>(LPP 201</w:t>
      </w:r>
      <w:r w:rsidR="00537B5A">
        <w:rPr>
          <w:rFonts w:ascii="Arial" w:eastAsia="Calibri" w:hAnsi="Arial" w:cs="Arial"/>
          <w:bCs/>
          <w:sz w:val="20"/>
          <w:szCs w:val="20"/>
          <w:lang w:eastAsia="en-US"/>
        </w:rPr>
        <w:t>8/</w:t>
      </w:r>
      <w:r w:rsidR="0056331F">
        <w:rPr>
          <w:rFonts w:ascii="Arial" w:eastAsia="Calibri" w:hAnsi="Arial" w:cs="Arial"/>
          <w:bCs/>
          <w:sz w:val="20"/>
          <w:szCs w:val="20"/>
          <w:lang w:eastAsia="en-US"/>
        </w:rPr>
        <w:t>1</w:t>
      </w:r>
      <w:r w:rsidR="006922BF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r w:rsidR="00F465E9">
        <w:rPr>
          <w:rFonts w:ascii="Arial" w:eastAsia="Calibri" w:hAnsi="Arial" w:cs="Arial"/>
          <w:bCs/>
          <w:sz w:val="20"/>
          <w:szCs w:val="20"/>
          <w:lang w:eastAsia="en-US"/>
        </w:rPr>
        <w:t>5</w:t>
      </w:r>
      <w:r w:rsidRPr="00B4657F">
        <w:rPr>
          <w:rFonts w:ascii="Arial" w:eastAsia="Calibri" w:hAnsi="Arial" w:cs="Arial"/>
          <w:bCs/>
          <w:sz w:val="20"/>
          <w:szCs w:val="20"/>
          <w:lang w:eastAsia="en-US"/>
        </w:rPr>
        <w:t xml:space="preserve">) </w:t>
      </w:r>
      <w:r w:rsidRPr="00B4657F">
        <w:rPr>
          <w:rFonts w:ascii="Arial" w:hAnsi="Arial" w:cs="Arial"/>
          <w:b/>
          <w:sz w:val="20"/>
          <w:szCs w:val="20"/>
          <w:lang w:eastAsia="en-US"/>
        </w:rPr>
        <w:t>nolikuma skaidrojumiem</w:t>
      </w:r>
      <w:r w:rsidR="00051DC2">
        <w:rPr>
          <w:rFonts w:ascii="Arial" w:hAnsi="Arial" w:cs="Arial"/>
          <w:b/>
          <w:sz w:val="20"/>
          <w:szCs w:val="20"/>
          <w:lang w:eastAsia="en-US"/>
        </w:rPr>
        <w:t>.</w:t>
      </w:r>
    </w:p>
    <w:p w14:paraId="1C6AC12D" w14:textId="77777777" w:rsidR="00FA7F76" w:rsidRPr="00B4657F" w:rsidRDefault="00FA7F76" w:rsidP="00032669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809"/>
        <w:gridCol w:w="8505"/>
      </w:tblGrid>
      <w:tr w:rsidR="00B4657F" w:rsidRPr="00F465E9" w14:paraId="739E0F99" w14:textId="77777777" w:rsidTr="00F26A2A">
        <w:tc>
          <w:tcPr>
            <w:tcW w:w="10314" w:type="dxa"/>
            <w:gridSpan w:val="2"/>
            <w:shd w:val="clear" w:color="auto" w:fill="CCFFCC"/>
          </w:tcPr>
          <w:p w14:paraId="0188AE94" w14:textId="77777777" w:rsidR="00B4657F" w:rsidRPr="00DC52B1" w:rsidRDefault="00B4657F" w:rsidP="00032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bookmarkStart w:id="1" w:name="_Hlk500400723"/>
            <w:bookmarkStart w:id="2" w:name="_Hlk507760749"/>
            <w:bookmarkStart w:id="3" w:name="_Hlk507761961"/>
          </w:p>
        </w:tc>
      </w:tr>
      <w:tr w:rsidR="00B4657F" w:rsidRPr="00F465E9" w14:paraId="28C51DD7" w14:textId="77777777" w:rsidTr="00F26A2A">
        <w:trPr>
          <w:trHeight w:val="739"/>
        </w:trPr>
        <w:tc>
          <w:tcPr>
            <w:tcW w:w="1809" w:type="dxa"/>
          </w:tcPr>
          <w:p w14:paraId="11C94464" w14:textId="385C7713" w:rsidR="00B4657F" w:rsidRPr="00F465E9" w:rsidRDefault="00D52EB5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bookmarkStart w:id="4" w:name="_Hlk503429744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1.</w:t>
            </w:r>
            <w:r w:rsidR="00B4657F"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Jautājums</w:t>
            </w:r>
          </w:p>
        </w:tc>
        <w:tc>
          <w:tcPr>
            <w:tcW w:w="8505" w:type="dxa"/>
          </w:tcPr>
          <w:p w14:paraId="3FC8CBD0" w14:textId="77777777" w:rsidR="00F465E9" w:rsidRPr="00F465E9" w:rsidRDefault="00F465E9" w:rsidP="00032669">
            <w:pPr>
              <w:tabs>
                <w:tab w:val="left" w:pos="7011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65E9">
              <w:rPr>
                <w:rFonts w:ascii="Arial" w:hAnsi="Arial" w:cs="Arial"/>
                <w:sz w:val="20"/>
                <w:szCs w:val="20"/>
                <w:lang w:eastAsia="en-US"/>
              </w:rPr>
              <w:t>Konkursa nolikuma punktā 2.4. noteikts, ka darba izpilde jāveic pēc "Ceļu specifikācijas 2017", bet projektā norādītas "Ceļu specifikācijas 2014". Kuras specifikācijas pretendentam ir jāņem kā aktuālās?</w:t>
            </w:r>
          </w:p>
          <w:p w14:paraId="5BD8D736" w14:textId="41DA3022" w:rsidR="00931ABE" w:rsidRPr="00F465E9" w:rsidRDefault="00931ABE" w:rsidP="00032669">
            <w:pPr>
              <w:tabs>
                <w:tab w:val="left" w:pos="7011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4657F" w:rsidRPr="00F465E9" w14:paraId="00C773A9" w14:textId="77777777" w:rsidTr="00F26A2A">
        <w:tc>
          <w:tcPr>
            <w:tcW w:w="1809" w:type="dxa"/>
          </w:tcPr>
          <w:p w14:paraId="2D16982C" w14:textId="41AA1DE9" w:rsidR="00B4657F" w:rsidRPr="00F465E9" w:rsidRDefault="00B4657F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8505" w:type="dxa"/>
          </w:tcPr>
          <w:p w14:paraId="1A210B9E" w14:textId="19D9A109" w:rsidR="00B4657F" w:rsidRPr="00F465E9" w:rsidRDefault="008A65EA" w:rsidP="0003266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A65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Kā aktuālās specifikācijas pielietot Ceļu specifikācijas 2017</w:t>
            </w:r>
            <w:r w:rsidR="00426B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B4657F" w:rsidRPr="00F465E9" w14:paraId="44E466E3" w14:textId="77777777" w:rsidTr="00F26A2A">
        <w:tc>
          <w:tcPr>
            <w:tcW w:w="10314" w:type="dxa"/>
            <w:gridSpan w:val="2"/>
            <w:shd w:val="clear" w:color="auto" w:fill="CCFFCC"/>
          </w:tcPr>
          <w:p w14:paraId="7EACC3E7" w14:textId="77777777" w:rsidR="00B4657F" w:rsidRPr="00DC52B1" w:rsidRDefault="00B4657F" w:rsidP="00032669">
            <w:pPr>
              <w:tabs>
                <w:tab w:val="left" w:pos="2552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</w:p>
        </w:tc>
      </w:tr>
      <w:tr w:rsidR="00F465E9" w:rsidRPr="00F465E9" w14:paraId="79027C24" w14:textId="77777777" w:rsidTr="00F26A2A">
        <w:trPr>
          <w:trHeight w:val="879"/>
        </w:trPr>
        <w:tc>
          <w:tcPr>
            <w:tcW w:w="1809" w:type="dxa"/>
          </w:tcPr>
          <w:p w14:paraId="4D80ACFF" w14:textId="113929A6" w:rsidR="00F465E9" w:rsidRPr="00F465E9" w:rsidRDefault="00D52EB5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bookmarkStart w:id="5" w:name="_Hlk507760779"/>
            <w:bookmarkEnd w:id="1"/>
            <w:bookmarkEnd w:id="2"/>
            <w:bookmarkEnd w:id="3"/>
            <w:bookmarkEnd w:id="4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2.</w:t>
            </w:r>
            <w:r w:rsidR="00F465E9"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Jautājums</w:t>
            </w:r>
          </w:p>
        </w:tc>
        <w:tc>
          <w:tcPr>
            <w:tcW w:w="8505" w:type="dxa"/>
          </w:tcPr>
          <w:p w14:paraId="1D2126A4" w14:textId="77777777" w:rsidR="00F465E9" w:rsidRPr="00F465E9" w:rsidRDefault="00F465E9" w:rsidP="00032669">
            <w:pPr>
              <w:tabs>
                <w:tab w:val="left" w:pos="7011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65E9">
              <w:rPr>
                <w:rFonts w:ascii="Arial" w:hAnsi="Arial" w:cs="Arial"/>
                <w:sz w:val="20"/>
                <w:szCs w:val="20"/>
                <w:lang w:eastAsia="en-US"/>
              </w:rPr>
              <w:t>Salizturīgas smilts nestspēja ir norādīta gan brauktuvei, gan ietvēm, tomēr nav norādīta nestspēja nobrauktuvēs. Kādas nestspējas salizturīgo slāni nepieciešams izbūvēt nobrauktuvēs?</w:t>
            </w:r>
          </w:p>
          <w:p w14:paraId="7A8FC842" w14:textId="75DA6195" w:rsidR="00F465E9" w:rsidRPr="00F465E9" w:rsidRDefault="00F465E9" w:rsidP="00032669">
            <w:pPr>
              <w:tabs>
                <w:tab w:val="left" w:pos="7011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465E9" w:rsidRPr="00F465E9" w14:paraId="45B0D340" w14:textId="77777777" w:rsidTr="00F26A2A">
        <w:tc>
          <w:tcPr>
            <w:tcW w:w="1809" w:type="dxa"/>
          </w:tcPr>
          <w:p w14:paraId="6F616E22" w14:textId="77777777" w:rsidR="00F465E9" w:rsidRPr="00F465E9" w:rsidRDefault="00F465E9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8505" w:type="dxa"/>
          </w:tcPr>
          <w:p w14:paraId="0F2626F2" w14:textId="4D0391FD" w:rsidR="00F465E9" w:rsidRPr="00F465E9" w:rsidRDefault="008A65EA" w:rsidP="0003266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A65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Nestspēja nobrauktuvēs norādīta rasējumā CD-05 Griezumi, EV2≥70</w:t>
            </w:r>
            <w:r w:rsidR="00426B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F465E9" w:rsidRPr="00F465E9" w14:paraId="79D8E229" w14:textId="77777777" w:rsidTr="00F26A2A">
        <w:tc>
          <w:tcPr>
            <w:tcW w:w="10314" w:type="dxa"/>
            <w:gridSpan w:val="2"/>
            <w:shd w:val="clear" w:color="auto" w:fill="CCFFCC"/>
          </w:tcPr>
          <w:p w14:paraId="2BA52714" w14:textId="77777777" w:rsidR="00F465E9" w:rsidRPr="00DC52B1" w:rsidRDefault="00F465E9" w:rsidP="00032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F465E9" w:rsidRPr="00F465E9" w14:paraId="272B1D5D" w14:textId="77777777" w:rsidTr="00F26A2A">
        <w:trPr>
          <w:trHeight w:val="529"/>
        </w:trPr>
        <w:tc>
          <w:tcPr>
            <w:tcW w:w="1809" w:type="dxa"/>
          </w:tcPr>
          <w:p w14:paraId="10692C11" w14:textId="5B61E6FC" w:rsidR="00F465E9" w:rsidRPr="00F465E9" w:rsidRDefault="00D52EB5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3.</w:t>
            </w:r>
            <w:r w:rsidR="00F465E9"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Jautājums</w:t>
            </w:r>
          </w:p>
        </w:tc>
        <w:tc>
          <w:tcPr>
            <w:tcW w:w="8505" w:type="dxa"/>
          </w:tcPr>
          <w:p w14:paraId="2D371F2C" w14:textId="77777777" w:rsidR="00F465E9" w:rsidRPr="00F465E9" w:rsidRDefault="00F465E9" w:rsidP="00032669">
            <w:pPr>
              <w:tabs>
                <w:tab w:val="left" w:pos="7011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65E9">
              <w:rPr>
                <w:rFonts w:ascii="Arial" w:hAnsi="Arial" w:cs="Arial"/>
                <w:sz w:val="20"/>
                <w:szCs w:val="20"/>
                <w:lang w:eastAsia="en-US"/>
              </w:rPr>
              <w:t>Projektam nav pievienots apgaismojuma aprēķins, kas ļautu sniegt precīzāku piedāvājumu. Lūgums pievienot šo aprēķinu!</w:t>
            </w:r>
          </w:p>
          <w:p w14:paraId="464A3048" w14:textId="55DE953A" w:rsidR="00F465E9" w:rsidRPr="00F465E9" w:rsidRDefault="00F465E9" w:rsidP="00032669">
            <w:pPr>
              <w:tabs>
                <w:tab w:val="left" w:pos="7011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465E9" w:rsidRPr="00F465E9" w14:paraId="13746402" w14:textId="77777777" w:rsidTr="00F26A2A">
        <w:tc>
          <w:tcPr>
            <w:tcW w:w="1809" w:type="dxa"/>
          </w:tcPr>
          <w:p w14:paraId="3C123F25" w14:textId="77777777" w:rsidR="00F465E9" w:rsidRPr="00F465E9" w:rsidRDefault="00F465E9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8505" w:type="dxa"/>
          </w:tcPr>
          <w:p w14:paraId="4D1400ED" w14:textId="15F1FE14" w:rsidR="00F465E9" w:rsidRPr="0049522F" w:rsidRDefault="0049522F" w:rsidP="0003266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522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Gaismekļus izvēlēties atbilstoši lokālās tāmes Nr.1.5 </w:t>
            </w:r>
            <w:r w:rsidR="00426BA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“</w:t>
            </w:r>
            <w:r w:rsidR="00426BAA" w:rsidRPr="00426BAA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0.4kV apgaismojuma tīklu rekonstrukcija (1.kārta, Peldu iela)</w:t>
            </w:r>
            <w:r w:rsidR="00426BA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” </w:t>
            </w:r>
            <w:r w:rsidRPr="0049522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pozīcij</w:t>
            </w:r>
            <w:r w:rsidR="00426BA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ās</w:t>
            </w:r>
            <w:r w:rsidRPr="0049522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Nr.1; Nr.2; Nr.3; Nr..4 un Lokālās tāmes Nr.2.5 </w:t>
            </w:r>
            <w:r w:rsidR="00426BA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“</w:t>
            </w:r>
            <w:r w:rsidR="00426BAA" w:rsidRPr="00426BAA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  <w:t>0.4kV apgaismojuma tīklu rekonstrukcija (2.kārta, Aleja uz Gulbju dīķi)</w:t>
            </w:r>
            <w:r w:rsidR="00426BA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” </w:t>
            </w:r>
            <w:r w:rsidRPr="0049522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pozīcij</w:t>
            </w:r>
            <w:r w:rsidR="00426BA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ā</w:t>
            </w:r>
            <w:r w:rsidRPr="0049522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Nr.1 norādītajiem parametriem. </w:t>
            </w:r>
          </w:p>
        </w:tc>
      </w:tr>
      <w:tr w:rsidR="00F465E9" w:rsidRPr="00F465E9" w14:paraId="2FE3FF75" w14:textId="77777777" w:rsidTr="00F26A2A">
        <w:tc>
          <w:tcPr>
            <w:tcW w:w="10314" w:type="dxa"/>
            <w:gridSpan w:val="2"/>
            <w:shd w:val="clear" w:color="auto" w:fill="CCFFCC"/>
          </w:tcPr>
          <w:p w14:paraId="732D6762" w14:textId="77777777" w:rsidR="00F465E9" w:rsidRPr="00DC52B1" w:rsidRDefault="00F465E9" w:rsidP="00032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F465E9" w:rsidRPr="00F465E9" w14:paraId="01BBE5AF" w14:textId="77777777" w:rsidTr="00F26A2A">
        <w:trPr>
          <w:trHeight w:val="589"/>
        </w:trPr>
        <w:tc>
          <w:tcPr>
            <w:tcW w:w="1809" w:type="dxa"/>
          </w:tcPr>
          <w:p w14:paraId="58CBF1DC" w14:textId="1FA39036" w:rsidR="00F465E9" w:rsidRPr="00426BAA" w:rsidRDefault="00D52EB5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6BA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4.</w:t>
            </w:r>
            <w:r w:rsidR="00F465E9" w:rsidRPr="00426BA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Jautājums</w:t>
            </w:r>
          </w:p>
        </w:tc>
        <w:tc>
          <w:tcPr>
            <w:tcW w:w="8505" w:type="dxa"/>
          </w:tcPr>
          <w:p w14:paraId="2705A005" w14:textId="77777777" w:rsidR="00F465E9" w:rsidRPr="00426BAA" w:rsidRDefault="00F465E9" w:rsidP="00032669">
            <w:pPr>
              <w:tabs>
                <w:tab w:val="left" w:pos="7011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6B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Lūdzu precizēt, kādi ir atkritumu urnas nepieciešamie izmēri? (Urnas diametrs, urnas augstums, stabiņa augstums, ieskaitot iebetonēto daļu) </w:t>
            </w:r>
          </w:p>
          <w:p w14:paraId="581D93CC" w14:textId="570FB4E6" w:rsidR="00F465E9" w:rsidRPr="00426BAA" w:rsidRDefault="00F465E9" w:rsidP="00032669">
            <w:pPr>
              <w:tabs>
                <w:tab w:val="left" w:pos="7011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465E9" w:rsidRPr="00F465E9" w14:paraId="38F016A2" w14:textId="77777777" w:rsidTr="00F26A2A">
        <w:tc>
          <w:tcPr>
            <w:tcW w:w="1809" w:type="dxa"/>
          </w:tcPr>
          <w:p w14:paraId="2067259F" w14:textId="77777777" w:rsidR="00F465E9" w:rsidRPr="00426BAA" w:rsidRDefault="00F465E9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6BA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8505" w:type="dxa"/>
          </w:tcPr>
          <w:p w14:paraId="259FEF24" w14:textId="3DEC7F13" w:rsidR="00F465E9" w:rsidRPr="00426BAA" w:rsidRDefault="000F2912" w:rsidP="00032669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6BAA">
              <w:rPr>
                <w:rFonts w:ascii="Arial" w:hAnsi="Arial" w:cs="Arial"/>
                <w:sz w:val="20"/>
                <w:szCs w:val="20"/>
                <w:lang w:eastAsia="en-US"/>
              </w:rPr>
              <w:t>Skatīt a</w:t>
            </w:r>
            <w:r w:rsidR="00682E66" w:rsidRPr="00426B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tkritumu urnas attēlu projekta pielikumā Nr.2. </w:t>
            </w:r>
            <w:r w:rsidR="00426BA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="00682E66" w:rsidRPr="00426BAA">
              <w:rPr>
                <w:rFonts w:ascii="Arial" w:hAnsi="Arial" w:cs="Arial"/>
                <w:sz w:val="20"/>
                <w:szCs w:val="20"/>
                <w:lang w:eastAsia="en-US"/>
              </w:rPr>
              <w:t>ttēlā norādīti urnas būtiskie parametri</w:t>
            </w:r>
            <w:r w:rsidR="00426BAA" w:rsidRPr="00426BA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16759C0B" w14:textId="3B666D97" w:rsidR="00682E66" w:rsidRPr="00426BAA" w:rsidRDefault="000F2912" w:rsidP="00032669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6BA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lastRenderedPageBreak/>
              <w:drawing>
                <wp:inline distT="0" distB="0" distL="0" distR="0" wp14:anchorId="638711AB" wp14:editId="31C0617E">
                  <wp:extent cx="3619500" cy="5067831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506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5E9" w:rsidRPr="00F465E9" w14:paraId="5596E6D7" w14:textId="77777777" w:rsidTr="00F26A2A">
        <w:tc>
          <w:tcPr>
            <w:tcW w:w="10314" w:type="dxa"/>
            <w:gridSpan w:val="2"/>
            <w:shd w:val="clear" w:color="auto" w:fill="CCFFCC"/>
          </w:tcPr>
          <w:p w14:paraId="6DA10703" w14:textId="77777777" w:rsidR="00F465E9" w:rsidRPr="00DC52B1" w:rsidRDefault="00F465E9" w:rsidP="00032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F465E9" w:rsidRPr="00F465E9" w14:paraId="504B41EF" w14:textId="77777777" w:rsidTr="00F26A2A">
        <w:trPr>
          <w:trHeight w:val="648"/>
        </w:trPr>
        <w:tc>
          <w:tcPr>
            <w:tcW w:w="1809" w:type="dxa"/>
          </w:tcPr>
          <w:p w14:paraId="19229D8D" w14:textId="10203D88" w:rsidR="00F465E9" w:rsidRPr="00F465E9" w:rsidRDefault="00D52EB5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5.</w:t>
            </w:r>
            <w:r w:rsidR="00F465E9"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Jautājums</w:t>
            </w:r>
          </w:p>
        </w:tc>
        <w:tc>
          <w:tcPr>
            <w:tcW w:w="8505" w:type="dxa"/>
          </w:tcPr>
          <w:p w14:paraId="784D5BD8" w14:textId="2D2A5F99" w:rsidR="00F465E9" w:rsidRPr="00F465E9" w:rsidRDefault="00F465E9" w:rsidP="00032669">
            <w:pPr>
              <w:tabs>
                <w:tab w:val="left" w:pos="7011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65E9">
              <w:rPr>
                <w:rFonts w:ascii="Arial" w:hAnsi="Arial" w:cs="Arial"/>
                <w:sz w:val="20"/>
                <w:szCs w:val="20"/>
                <w:lang w:eastAsia="en-US"/>
              </w:rPr>
              <w:t>Vai tāmes Nr.1.1.</w:t>
            </w:r>
            <w:r w:rsidR="00426BAA">
              <w:t xml:space="preserve"> “</w:t>
            </w:r>
            <w:r w:rsidR="00426BAA" w:rsidRPr="00426BA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Ielas rekonstrukcija (1.kārta, Peldu iela)</w:t>
            </w:r>
            <w:r w:rsidR="00426B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” </w:t>
            </w:r>
            <w:r w:rsidRPr="00F465E9">
              <w:rPr>
                <w:rFonts w:ascii="Arial" w:hAnsi="Arial" w:cs="Arial"/>
                <w:sz w:val="20"/>
                <w:szCs w:val="20"/>
                <w:lang w:eastAsia="en-US"/>
              </w:rPr>
              <w:t>Poz.4,6,6; 4,8,4; 4,10 un tāmes Nr.2.1.</w:t>
            </w:r>
            <w:r w:rsidR="00426BAA">
              <w:t xml:space="preserve"> “</w:t>
            </w:r>
            <w:r w:rsidR="00426BAA" w:rsidRPr="00426BA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Ielas rekonstrukcija (2.kārta, Aleja uz Gulbju dīķi)</w:t>
            </w:r>
            <w:r w:rsidR="00426BAA">
              <w:rPr>
                <w:rFonts w:ascii="Arial" w:hAnsi="Arial" w:cs="Arial"/>
                <w:sz w:val="20"/>
                <w:szCs w:val="20"/>
                <w:lang w:eastAsia="en-US"/>
              </w:rPr>
              <w:t>”</w:t>
            </w:r>
            <w:r w:rsidRPr="00F465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65E9">
              <w:rPr>
                <w:rFonts w:ascii="Arial" w:hAnsi="Arial" w:cs="Arial"/>
                <w:sz w:val="20"/>
                <w:szCs w:val="20"/>
                <w:lang w:eastAsia="en-US"/>
              </w:rPr>
              <w:t>Poz</w:t>
            </w:r>
            <w:proofErr w:type="spellEnd"/>
            <w:r w:rsidRPr="00F465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4,7,4, kur nepieciešams materiāls "</w:t>
            </w:r>
            <w:proofErr w:type="spellStart"/>
            <w:r w:rsidRPr="00F465E9">
              <w:rPr>
                <w:rFonts w:ascii="Arial" w:hAnsi="Arial" w:cs="Arial"/>
                <w:sz w:val="20"/>
                <w:szCs w:val="20"/>
                <w:lang w:eastAsia="en-US"/>
              </w:rPr>
              <w:t>laukakmeņs</w:t>
            </w:r>
            <w:proofErr w:type="spellEnd"/>
            <w:r w:rsidRPr="00F465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bruģis 15cm-20cm" būs iespējams izmantot būvobjektā atgūstamo materiālu?</w:t>
            </w:r>
          </w:p>
          <w:p w14:paraId="2B93630A" w14:textId="5CF9DAD7" w:rsidR="00F465E9" w:rsidRPr="00F465E9" w:rsidRDefault="00F465E9" w:rsidP="00032669">
            <w:pPr>
              <w:tabs>
                <w:tab w:val="left" w:pos="7011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465E9" w:rsidRPr="00F465E9" w14:paraId="18F15AC5" w14:textId="77777777" w:rsidTr="00F26A2A">
        <w:tc>
          <w:tcPr>
            <w:tcW w:w="1809" w:type="dxa"/>
          </w:tcPr>
          <w:p w14:paraId="722D5CB7" w14:textId="77777777" w:rsidR="00F465E9" w:rsidRPr="00F465E9" w:rsidRDefault="00F465E9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8505" w:type="dxa"/>
          </w:tcPr>
          <w:p w14:paraId="3E6A8EB4" w14:textId="1CC41A5C" w:rsidR="00F465E9" w:rsidRPr="00F465E9" w:rsidRDefault="008A65EA" w:rsidP="0003266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A65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Objektā ir jāizmanto iepriekš atgūtais laukakmens (pozīcija – 2.4.), pārējo nepieciešamo materiālu piegādājot no jauna.  </w:t>
            </w:r>
          </w:p>
        </w:tc>
      </w:tr>
      <w:tr w:rsidR="00F465E9" w:rsidRPr="00F465E9" w14:paraId="2CFFE64D" w14:textId="77777777" w:rsidTr="00F26A2A">
        <w:tc>
          <w:tcPr>
            <w:tcW w:w="10314" w:type="dxa"/>
            <w:gridSpan w:val="2"/>
            <w:shd w:val="clear" w:color="auto" w:fill="CCFFCC"/>
          </w:tcPr>
          <w:p w14:paraId="7E340710" w14:textId="77777777" w:rsidR="00F465E9" w:rsidRPr="00DC52B1" w:rsidRDefault="00F465E9" w:rsidP="00032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F465E9" w:rsidRPr="00F465E9" w14:paraId="4F1B95AC" w14:textId="77777777" w:rsidTr="00F26A2A">
        <w:trPr>
          <w:trHeight w:val="481"/>
        </w:trPr>
        <w:tc>
          <w:tcPr>
            <w:tcW w:w="1809" w:type="dxa"/>
          </w:tcPr>
          <w:p w14:paraId="7032EA9E" w14:textId="5AF67C94" w:rsidR="00F465E9" w:rsidRPr="00F465E9" w:rsidRDefault="00D52EB5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6.</w:t>
            </w:r>
            <w:r w:rsidR="00F465E9"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Jautājums</w:t>
            </w:r>
          </w:p>
        </w:tc>
        <w:tc>
          <w:tcPr>
            <w:tcW w:w="8505" w:type="dxa"/>
          </w:tcPr>
          <w:p w14:paraId="68236078" w14:textId="0812B3E6" w:rsidR="00F465E9" w:rsidRDefault="00F465E9" w:rsidP="00032669">
            <w:pPr>
              <w:tabs>
                <w:tab w:val="left" w:pos="7011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65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Lokālās tāmes 1.5</w:t>
            </w:r>
            <w:r w:rsidR="007056F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“</w:t>
            </w:r>
            <w:r w:rsidR="007056F9" w:rsidRPr="007056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0.4kV apgaismojuma tīklu rekonstrukcija (1.kārta, Peldu iela)</w:t>
            </w:r>
            <w:r w:rsidR="007056F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Pr="00F465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pēc principiālās shēmas jaunā </w:t>
            </w:r>
            <w:proofErr w:type="spellStart"/>
            <w:r w:rsidRPr="00F465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sadalnē</w:t>
            </w:r>
            <w:proofErr w:type="spellEnd"/>
            <w:r w:rsidRPr="00F465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ir paredzēti tikai 4 komplekti. Kur ir paredzēts uzstādīt vēl 4 komplektus?</w:t>
            </w:r>
          </w:p>
          <w:tbl>
            <w:tblPr>
              <w:tblW w:w="7267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1000"/>
              <w:gridCol w:w="2472"/>
              <w:gridCol w:w="1985"/>
              <w:gridCol w:w="850"/>
            </w:tblGrid>
            <w:tr w:rsidR="00D52EB5" w:rsidRPr="00D52EB5" w14:paraId="6F7057EC" w14:textId="77777777" w:rsidTr="00D52EB5">
              <w:trPr>
                <w:trHeight w:val="345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9D96E3" w14:textId="77777777" w:rsidR="00D52EB5" w:rsidRPr="00D52EB5" w:rsidRDefault="00D52EB5" w:rsidP="00032669">
                  <w:pPr>
                    <w:jc w:val="center"/>
                    <w:rPr>
                      <w:sz w:val="20"/>
                      <w:szCs w:val="20"/>
                    </w:rPr>
                  </w:pPr>
                  <w:r w:rsidRPr="00D52EB5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B23C89" w14:textId="77777777" w:rsidR="00D52EB5" w:rsidRPr="00D52EB5" w:rsidRDefault="00D52EB5" w:rsidP="00032669">
                  <w:pPr>
                    <w:jc w:val="center"/>
                    <w:rPr>
                      <w:sz w:val="20"/>
                      <w:szCs w:val="20"/>
                    </w:rPr>
                  </w:pPr>
                  <w:r w:rsidRPr="00D52EB5">
                    <w:rPr>
                      <w:sz w:val="20"/>
                      <w:szCs w:val="20"/>
                    </w:rPr>
                    <w:t>22-00000</w:t>
                  </w:r>
                </w:p>
              </w:tc>
              <w:tc>
                <w:tcPr>
                  <w:tcW w:w="247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C924D8" w14:textId="77777777" w:rsidR="00D52EB5" w:rsidRPr="00D52EB5" w:rsidRDefault="00D52EB5" w:rsidP="0003266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52EB5">
                    <w:rPr>
                      <w:sz w:val="20"/>
                      <w:szCs w:val="20"/>
                    </w:rPr>
                    <w:t>Drošinātājslēdzis</w:t>
                  </w:r>
                  <w:proofErr w:type="spellEnd"/>
                  <w:r w:rsidRPr="00D52EB5">
                    <w:rPr>
                      <w:sz w:val="20"/>
                      <w:szCs w:val="20"/>
                    </w:rPr>
                    <w:t xml:space="preserve">  SLD00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973A7A" w14:textId="77777777" w:rsidR="00D52EB5" w:rsidRPr="00D52EB5" w:rsidRDefault="00D52EB5" w:rsidP="0003266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52EB5">
                    <w:rPr>
                      <w:sz w:val="20"/>
                      <w:szCs w:val="20"/>
                    </w:rPr>
                    <w:t>kompl</w:t>
                  </w:r>
                  <w:proofErr w:type="spellEnd"/>
                  <w:r w:rsidRPr="00D52EB5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AB2326" w14:textId="77777777" w:rsidR="00D52EB5" w:rsidRPr="00D52EB5" w:rsidRDefault="00D52EB5" w:rsidP="00032669">
                  <w:pPr>
                    <w:jc w:val="center"/>
                    <w:rPr>
                      <w:sz w:val="20"/>
                      <w:szCs w:val="20"/>
                    </w:rPr>
                  </w:pPr>
                  <w:r w:rsidRPr="00D52EB5">
                    <w:rPr>
                      <w:sz w:val="20"/>
                      <w:szCs w:val="20"/>
                    </w:rPr>
                    <w:t>8,00</w:t>
                  </w:r>
                </w:p>
              </w:tc>
            </w:tr>
          </w:tbl>
          <w:p w14:paraId="5974458E" w14:textId="77777777" w:rsidR="00D52EB5" w:rsidRPr="00F465E9" w:rsidRDefault="00D52EB5" w:rsidP="00032669">
            <w:pPr>
              <w:tabs>
                <w:tab w:val="left" w:pos="7011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00085D9" w14:textId="7CBFE0E3" w:rsidR="00F465E9" w:rsidRPr="00F465E9" w:rsidRDefault="00F465E9" w:rsidP="00032669">
            <w:pPr>
              <w:pStyle w:val="Sarakstarindkopa"/>
              <w:tabs>
                <w:tab w:val="left" w:pos="7011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465E9" w:rsidRPr="00F465E9" w14:paraId="491EC0D2" w14:textId="77777777" w:rsidTr="00F26A2A">
        <w:tc>
          <w:tcPr>
            <w:tcW w:w="1809" w:type="dxa"/>
          </w:tcPr>
          <w:p w14:paraId="7049B808" w14:textId="77777777" w:rsidR="00F465E9" w:rsidRPr="00F465E9" w:rsidRDefault="00F465E9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8505" w:type="dxa"/>
          </w:tcPr>
          <w:p w14:paraId="654953BF" w14:textId="71EBDDDB" w:rsidR="00F465E9" w:rsidRPr="0049522F" w:rsidRDefault="0049522F" w:rsidP="0003266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522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Jauno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sadali aprīkot ar 5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drošinātājslēdžiem</w:t>
            </w:r>
            <w:proofErr w:type="spellEnd"/>
            <w:r w:rsidRPr="0049522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(4 + rezerve). Sadalē AS-500 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aredzēt divus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drošinātājslēdžus</w:t>
            </w:r>
            <w:proofErr w:type="spellEnd"/>
            <w:r w:rsidRPr="0049522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. Sadalē AS-29 vienu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drošinātājslēdzi</w:t>
            </w:r>
            <w:proofErr w:type="spellEnd"/>
            <w:r w:rsidRPr="0049522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F465E9" w:rsidRPr="00F465E9" w14:paraId="6A171AD9" w14:textId="77777777" w:rsidTr="00F26A2A">
        <w:tc>
          <w:tcPr>
            <w:tcW w:w="10314" w:type="dxa"/>
            <w:gridSpan w:val="2"/>
            <w:shd w:val="clear" w:color="auto" w:fill="CCFFCC"/>
          </w:tcPr>
          <w:p w14:paraId="3BD80A7C" w14:textId="77777777" w:rsidR="00F465E9" w:rsidRPr="00DC52B1" w:rsidRDefault="00F465E9" w:rsidP="00032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F465E9" w:rsidRPr="00F465E9" w14:paraId="7AFBC400" w14:textId="77777777" w:rsidTr="00F26A2A">
        <w:trPr>
          <w:trHeight w:val="80"/>
        </w:trPr>
        <w:tc>
          <w:tcPr>
            <w:tcW w:w="1809" w:type="dxa"/>
          </w:tcPr>
          <w:p w14:paraId="136DF4F0" w14:textId="16424D38" w:rsidR="00F465E9" w:rsidRPr="00F465E9" w:rsidRDefault="00D52EB5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7.</w:t>
            </w:r>
            <w:r w:rsidR="00F465E9"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Jautājums</w:t>
            </w:r>
          </w:p>
        </w:tc>
        <w:tc>
          <w:tcPr>
            <w:tcW w:w="8505" w:type="dxa"/>
          </w:tcPr>
          <w:p w14:paraId="6CE7589B" w14:textId="24AADE09" w:rsidR="00F465E9" w:rsidRDefault="00F465E9" w:rsidP="00032669">
            <w:pPr>
              <w:tabs>
                <w:tab w:val="left" w:pos="7011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465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Par Lokālās tāmes 1.5</w:t>
            </w:r>
            <w:r w:rsidR="007056F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056F9" w:rsidRPr="007056F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7056F9" w:rsidRPr="007056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0.4kV apgaismojuma tīklu rekonstrukcija (1.kārta, Peldu iela</w:t>
            </w:r>
            <w:r w:rsidR="007056F9" w:rsidRPr="007056F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)” </w:t>
            </w:r>
            <w:r w:rsidRPr="00F465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Poz.20 - Vai pareizi ir uzrakstīts sadales tips - SDC420 neeksistē, varbūt ir domāts – CDC420? Lūgums precizēt.</w:t>
            </w:r>
          </w:p>
          <w:tbl>
            <w:tblPr>
              <w:tblW w:w="7267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1000"/>
              <w:gridCol w:w="2898"/>
              <w:gridCol w:w="1559"/>
              <w:gridCol w:w="850"/>
            </w:tblGrid>
            <w:tr w:rsidR="00D52EB5" w:rsidRPr="00D52EB5" w14:paraId="7AC67443" w14:textId="77777777" w:rsidTr="00D52EB5">
              <w:trPr>
                <w:trHeight w:val="510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4BDCEC" w14:textId="77777777" w:rsidR="00D52EB5" w:rsidRPr="00D52EB5" w:rsidRDefault="00D52EB5" w:rsidP="00032669">
                  <w:pPr>
                    <w:jc w:val="center"/>
                    <w:rPr>
                      <w:sz w:val="20"/>
                      <w:szCs w:val="20"/>
                    </w:rPr>
                  </w:pPr>
                  <w:r w:rsidRPr="00D52EB5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66F738" w14:textId="77777777" w:rsidR="00D52EB5" w:rsidRPr="00D52EB5" w:rsidRDefault="00D52EB5" w:rsidP="00032669">
                  <w:pPr>
                    <w:jc w:val="center"/>
                    <w:rPr>
                      <w:sz w:val="20"/>
                      <w:szCs w:val="20"/>
                    </w:rPr>
                  </w:pPr>
                  <w:r w:rsidRPr="00D52EB5">
                    <w:rPr>
                      <w:sz w:val="20"/>
                      <w:szCs w:val="20"/>
                    </w:rPr>
                    <w:t>22-00000</w:t>
                  </w: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26DCA3" w14:textId="77777777" w:rsidR="00D52EB5" w:rsidRPr="00D52EB5" w:rsidRDefault="00D52EB5" w:rsidP="00032669">
                  <w:pPr>
                    <w:rPr>
                      <w:sz w:val="20"/>
                      <w:szCs w:val="20"/>
                    </w:rPr>
                  </w:pPr>
                  <w:r w:rsidRPr="00D52EB5">
                    <w:rPr>
                      <w:sz w:val="20"/>
                      <w:szCs w:val="20"/>
                    </w:rPr>
                    <w:t xml:space="preserve">Cinkots </w:t>
                  </w:r>
                  <w:proofErr w:type="spellStart"/>
                  <w:r w:rsidRPr="00D52EB5">
                    <w:rPr>
                      <w:sz w:val="20"/>
                      <w:szCs w:val="20"/>
                    </w:rPr>
                    <w:t>kabeļskapis</w:t>
                  </w:r>
                  <w:proofErr w:type="spellEnd"/>
                  <w:r w:rsidRPr="00D52EB5">
                    <w:rPr>
                      <w:sz w:val="20"/>
                      <w:szCs w:val="20"/>
                    </w:rPr>
                    <w:t xml:space="preserve"> ar pamatni SDC420              20 moduļu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EB2305" w14:textId="77777777" w:rsidR="00D52EB5" w:rsidRPr="00D52EB5" w:rsidRDefault="00D52EB5" w:rsidP="00032669">
                  <w:pPr>
                    <w:jc w:val="center"/>
                    <w:rPr>
                      <w:sz w:val="20"/>
                      <w:szCs w:val="20"/>
                    </w:rPr>
                  </w:pPr>
                  <w:r w:rsidRPr="00D52EB5">
                    <w:rPr>
                      <w:sz w:val="20"/>
                      <w:szCs w:val="20"/>
                    </w:rPr>
                    <w:t>gab.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AB4D6F" w14:textId="77777777" w:rsidR="00D52EB5" w:rsidRPr="00D52EB5" w:rsidRDefault="00D52EB5" w:rsidP="00032669">
                  <w:pPr>
                    <w:jc w:val="center"/>
                    <w:rPr>
                      <w:sz w:val="20"/>
                      <w:szCs w:val="20"/>
                    </w:rPr>
                  </w:pPr>
                  <w:r w:rsidRPr="00D52EB5">
                    <w:rPr>
                      <w:sz w:val="20"/>
                      <w:szCs w:val="20"/>
                    </w:rPr>
                    <w:t>1,00</w:t>
                  </w:r>
                </w:p>
              </w:tc>
            </w:tr>
          </w:tbl>
          <w:p w14:paraId="4FC95CD9" w14:textId="753427CA" w:rsidR="00F465E9" w:rsidRPr="00F465E9" w:rsidRDefault="00F465E9" w:rsidP="00032669">
            <w:pPr>
              <w:tabs>
                <w:tab w:val="left" w:pos="7011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465E9" w:rsidRPr="00F465E9" w14:paraId="424B832C" w14:textId="77777777" w:rsidTr="007056F9">
        <w:tc>
          <w:tcPr>
            <w:tcW w:w="1809" w:type="dxa"/>
            <w:vAlign w:val="center"/>
          </w:tcPr>
          <w:p w14:paraId="19FF4B96" w14:textId="77777777" w:rsidR="007056F9" w:rsidRDefault="007056F9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279B25AB" w14:textId="4AF0FBF9" w:rsidR="00F465E9" w:rsidRPr="00F465E9" w:rsidRDefault="00F465E9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8505" w:type="dxa"/>
            <w:vAlign w:val="center"/>
          </w:tcPr>
          <w:p w14:paraId="0B9D138F" w14:textId="77777777" w:rsidR="007056F9" w:rsidRDefault="007056F9" w:rsidP="00032669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14:paraId="69AD8EC8" w14:textId="0297345C" w:rsidR="00F465E9" w:rsidRPr="0049522F" w:rsidRDefault="007056F9" w:rsidP="0003266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056F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Uzstādāmās</w:t>
            </w:r>
            <w:r w:rsidR="0049522F" w:rsidRPr="0049522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sadales tips  ir CDC 420</w:t>
            </w:r>
            <w:r w:rsidR="0049522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F465E9" w:rsidRPr="00F465E9" w14:paraId="5ADB9CAA" w14:textId="77777777" w:rsidTr="00F26A2A">
        <w:tc>
          <w:tcPr>
            <w:tcW w:w="10314" w:type="dxa"/>
            <w:gridSpan w:val="2"/>
            <w:shd w:val="clear" w:color="auto" w:fill="CCFFCC"/>
          </w:tcPr>
          <w:p w14:paraId="65F3F3C4" w14:textId="77777777" w:rsidR="00F465E9" w:rsidRPr="00DC52B1" w:rsidRDefault="00F465E9" w:rsidP="00032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F465E9" w:rsidRPr="00F465E9" w14:paraId="54591BEF" w14:textId="77777777" w:rsidTr="00F26A2A">
        <w:trPr>
          <w:trHeight w:val="570"/>
        </w:trPr>
        <w:tc>
          <w:tcPr>
            <w:tcW w:w="1809" w:type="dxa"/>
          </w:tcPr>
          <w:p w14:paraId="36160644" w14:textId="76B930D5" w:rsidR="00F465E9" w:rsidRPr="00F465E9" w:rsidRDefault="00D52EB5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8.</w:t>
            </w:r>
            <w:r w:rsidR="00F465E9"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Jautājums</w:t>
            </w:r>
          </w:p>
        </w:tc>
        <w:tc>
          <w:tcPr>
            <w:tcW w:w="8505" w:type="dxa"/>
          </w:tcPr>
          <w:p w14:paraId="206ABA17" w14:textId="54C3BD7E" w:rsidR="00F465E9" w:rsidRDefault="00F465E9" w:rsidP="00032669">
            <w:pPr>
              <w:tabs>
                <w:tab w:val="left" w:pos="7011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65E9">
              <w:rPr>
                <w:rFonts w:ascii="Arial" w:hAnsi="Arial" w:cs="Arial"/>
                <w:sz w:val="20"/>
                <w:szCs w:val="20"/>
                <w:lang w:eastAsia="en-US"/>
              </w:rPr>
              <w:t>Lokālās tāmes 1.</w:t>
            </w:r>
            <w:r w:rsidR="007056F9">
              <w:t xml:space="preserve"> </w:t>
            </w:r>
            <w:r w:rsidR="007056F9" w:rsidRPr="007056F9">
              <w:rPr>
                <w:rFonts w:ascii="Arial" w:hAnsi="Arial" w:cs="Arial"/>
                <w:sz w:val="20"/>
                <w:szCs w:val="20"/>
                <w:lang w:eastAsia="en-US"/>
              </w:rPr>
              <w:t>5 “</w:t>
            </w:r>
            <w:r w:rsidR="007056F9" w:rsidRPr="007056F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0.4kV apgaismojuma tīklu rekonstrukcija (1.kārta, Peldu iela)</w:t>
            </w:r>
            <w:r w:rsidR="007056F9" w:rsidRPr="007056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” </w:t>
            </w:r>
            <w:r w:rsidRPr="00F465E9">
              <w:rPr>
                <w:rFonts w:ascii="Arial" w:hAnsi="Arial" w:cs="Arial"/>
                <w:sz w:val="20"/>
                <w:szCs w:val="20"/>
                <w:lang w:eastAsia="en-US"/>
              </w:rPr>
              <w:t>materiālu Poz.22-24. nav pretī pozīcija ar šo materiālu uzstādīšanas darbiem. Vai nepieciešams paredzēt šo materiālu uzstādīšanas izmaksas šo materiālu pozīcijās?</w:t>
            </w:r>
          </w:p>
          <w:tbl>
            <w:tblPr>
              <w:tblW w:w="7267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1000"/>
              <w:gridCol w:w="2898"/>
              <w:gridCol w:w="1559"/>
              <w:gridCol w:w="850"/>
            </w:tblGrid>
            <w:tr w:rsidR="004A0F85" w:rsidRPr="004A0F85" w14:paraId="0E0B40C5" w14:textId="77777777" w:rsidTr="00F26A2A">
              <w:trPr>
                <w:trHeight w:val="510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DBDC26" w14:textId="77777777" w:rsidR="004A0F85" w:rsidRPr="004A0F85" w:rsidRDefault="004A0F85" w:rsidP="00032669">
                  <w:pPr>
                    <w:jc w:val="center"/>
                    <w:rPr>
                      <w:sz w:val="20"/>
                      <w:szCs w:val="20"/>
                    </w:rPr>
                  </w:pPr>
                  <w:r w:rsidRPr="004A0F85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994DAF" w14:textId="77777777" w:rsidR="004A0F85" w:rsidRPr="004A0F85" w:rsidRDefault="004A0F85" w:rsidP="00032669">
                  <w:pPr>
                    <w:jc w:val="center"/>
                    <w:rPr>
                      <w:sz w:val="20"/>
                      <w:szCs w:val="20"/>
                    </w:rPr>
                  </w:pPr>
                  <w:r w:rsidRPr="004A0F85">
                    <w:rPr>
                      <w:sz w:val="20"/>
                      <w:szCs w:val="20"/>
                    </w:rPr>
                    <w:t>22-00000</w:t>
                  </w: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460F09" w14:textId="77777777" w:rsidR="004A0F85" w:rsidRPr="004A0F85" w:rsidRDefault="004A0F85" w:rsidP="00032669">
                  <w:pPr>
                    <w:rPr>
                      <w:sz w:val="20"/>
                      <w:szCs w:val="20"/>
                    </w:rPr>
                  </w:pPr>
                  <w:r w:rsidRPr="004A0F85">
                    <w:rPr>
                      <w:sz w:val="20"/>
                      <w:szCs w:val="20"/>
                    </w:rPr>
                    <w:t xml:space="preserve">Cinkots </w:t>
                  </w:r>
                  <w:proofErr w:type="spellStart"/>
                  <w:r w:rsidRPr="004A0F85">
                    <w:rPr>
                      <w:sz w:val="20"/>
                      <w:szCs w:val="20"/>
                    </w:rPr>
                    <w:t>kabeļskapis</w:t>
                  </w:r>
                  <w:proofErr w:type="spellEnd"/>
                  <w:r w:rsidRPr="004A0F85">
                    <w:rPr>
                      <w:sz w:val="20"/>
                      <w:szCs w:val="20"/>
                    </w:rPr>
                    <w:t xml:space="preserve"> ar pamatni SDC420              20 moduļu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BBABA7" w14:textId="77777777" w:rsidR="004A0F85" w:rsidRPr="004A0F85" w:rsidRDefault="004A0F85" w:rsidP="00032669">
                  <w:pPr>
                    <w:jc w:val="center"/>
                    <w:rPr>
                      <w:sz w:val="20"/>
                      <w:szCs w:val="20"/>
                    </w:rPr>
                  </w:pPr>
                  <w:r w:rsidRPr="004A0F85">
                    <w:rPr>
                      <w:sz w:val="20"/>
                      <w:szCs w:val="20"/>
                    </w:rPr>
                    <w:t>gab.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B50845" w14:textId="77777777" w:rsidR="004A0F85" w:rsidRPr="004A0F85" w:rsidRDefault="004A0F85" w:rsidP="00032669">
                  <w:pPr>
                    <w:jc w:val="center"/>
                    <w:rPr>
                      <w:sz w:val="20"/>
                      <w:szCs w:val="20"/>
                    </w:rPr>
                  </w:pPr>
                  <w:r w:rsidRPr="004A0F85">
                    <w:rPr>
                      <w:sz w:val="20"/>
                      <w:szCs w:val="20"/>
                    </w:rPr>
                    <w:t>1,00</w:t>
                  </w:r>
                </w:p>
              </w:tc>
            </w:tr>
            <w:tr w:rsidR="004A0F85" w:rsidRPr="004A0F85" w14:paraId="6F328BFA" w14:textId="77777777" w:rsidTr="00F26A2A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C0893A" w14:textId="77777777" w:rsidR="004A0F85" w:rsidRPr="004A0F85" w:rsidRDefault="004A0F85" w:rsidP="00032669">
                  <w:pPr>
                    <w:jc w:val="center"/>
                    <w:rPr>
                      <w:sz w:val="20"/>
                      <w:szCs w:val="20"/>
                    </w:rPr>
                  </w:pPr>
                  <w:r w:rsidRPr="004A0F85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5D50BC" w14:textId="77777777" w:rsidR="004A0F85" w:rsidRPr="004A0F85" w:rsidRDefault="004A0F85" w:rsidP="00032669">
                  <w:pPr>
                    <w:jc w:val="center"/>
                    <w:rPr>
                      <w:sz w:val="20"/>
                      <w:szCs w:val="20"/>
                    </w:rPr>
                  </w:pPr>
                  <w:r w:rsidRPr="004A0F85">
                    <w:rPr>
                      <w:sz w:val="20"/>
                      <w:szCs w:val="20"/>
                    </w:rPr>
                    <w:t>22-00000</w:t>
                  </w:r>
                </w:p>
              </w:tc>
              <w:tc>
                <w:tcPr>
                  <w:tcW w:w="2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EF0DE4" w14:textId="77777777" w:rsidR="004A0F85" w:rsidRPr="004A0F85" w:rsidRDefault="004A0F85" w:rsidP="0003266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A0F85">
                    <w:rPr>
                      <w:sz w:val="20"/>
                      <w:szCs w:val="20"/>
                    </w:rPr>
                    <w:t>Drošinātājslēdzis</w:t>
                  </w:r>
                  <w:proofErr w:type="spellEnd"/>
                  <w:r w:rsidRPr="004A0F85">
                    <w:rPr>
                      <w:sz w:val="20"/>
                      <w:szCs w:val="20"/>
                    </w:rPr>
                    <w:t xml:space="preserve">  SLD00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F4DC9D" w14:textId="77777777" w:rsidR="004A0F85" w:rsidRPr="004A0F85" w:rsidRDefault="004A0F85" w:rsidP="0003266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A0F85">
                    <w:rPr>
                      <w:sz w:val="20"/>
                      <w:szCs w:val="20"/>
                    </w:rPr>
                    <w:t>kompl</w:t>
                  </w:r>
                  <w:proofErr w:type="spellEnd"/>
                  <w:r w:rsidRPr="004A0F85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C04561" w14:textId="77777777" w:rsidR="004A0F85" w:rsidRPr="004A0F85" w:rsidRDefault="004A0F85" w:rsidP="00032669">
                  <w:pPr>
                    <w:jc w:val="center"/>
                    <w:rPr>
                      <w:sz w:val="20"/>
                      <w:szCs w:val="20"/>
                    </w:rPr>
                  </w:pPr>
                  <w:r w:rsidRPr="004A0F85">
                    <w:rPr>
                      <w:sz w:val="20"/>
                      <w:szCs w:val="20"/>
                    </w:rPr>
                    <w:t>8,00</w:t>
                  </w:r>
                </w:p>
              </w:tc>
            </w:tr>
            <w:tr w:rsidR="004A0F85" w:rsidRPr="004A0F85" w14:paraId="1206301D" w14:textId="77777777" w:rsidTr="00F26A2A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30EBB0" w14:textId="77777777" w:rsidR="004A0F85" w:rsidRPr="004A0F85" w:rsidRDefault="004A0F85" w:rsidP="00032669">
                  <w:pPr>
                    <w:jc w:val="center"/>
                    <w:rPr>
                      <w:sz w:val="20"/>
                      <w:szCs w:val="20"/>
                    </w:rPr>
                  </w:pPr>
                  <w:r w:rsidRPr="004A0F85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CE67C6" w14:textId="77777777" w:rsidR="004A0F85" w:rsidRPr="004A0F85" w:rsidRDefault="004A0F85" w:rsidP="00032669">
                  <w:pPr>
                    <w:jc w:val="center"/>
                    <w:rPr>
                      <w:sz w:val="20"/>
                      <w:szCs w:val="20"/>
                    </w:rPr>
                  </w:pPr>
                  <w:r w:rsidRPr="004A0F85">
                    <w:rPr>
                      <w:sz w:val="20"/>
                      <w:szCs w:val="20"/>
                    </w:rPr>
                    <w:t>22-00000</w:t>
                  </w:r>
                </w:p>
              </w:tc>
              <w:tc>
                <w:tcPr>
                  <w:tcW w:w="2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6FF08C" w14:textId="77777777" w:rsidR="004A0F85" w:rsidRPr="004A0F85" w:rsidRDefault="004A0F85" w:rsidP="00032669">
                  <w:pPr>
                    <w:rPr>
                      <w:sz w:val="20"/>
                      <w:szCs w:val="20"/>
                    </w:rPr>
                  </w:pPr>
                  <w:r w:rsidRPr="004A0F85">
                    <w:rPr>
                      <w:sz w:val="20"/>
                      <w:szCs w:val="20"/>
                    </w:rPr>
                    <w:t>Drošinātājs 20A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6BF317" w14:textId="77777777" w:rsidR="004A0F85" w:rsidRPr="004A0F85" w:rsidRDefault="004A0F85" w:rsidP="00032669">
                  <w:pPr>
                    <w:jc w:val="center"/>
                    <w:rPr>
                      <w:sz w:val="20"/>
                      <w:szCs w:val="20"/>
                    </w:rPr>
                  </w:pPr>
                  <w:r w:rsidRPr="004A0F85">
                    <w:rPr>
                      <w:sz w:val="20"/>
                      <w:szCs w:val="20"/>
                    </w:rPr>
                    <w:t>gab.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599718" w14:textId="77777777" w:rsidR="004A0F85" w:rsidRPr="004A0F85" w:rsidRDefault="004A0F85" w:rsidP="00032669">
                  <w:pPr>
                    <w:jc w:val="center"/>
                    <w:rPr>
                      <w:sz w:val="20"/>
                      <w:szCs w:val="20"/>
                    </w:rPr>
                  </w:pPr>
                  <w:r w:rsidRPr="004A0F85">
                    <w:rPr>
                      <w:sz w:val="20"/>
                      <w:szCs w:val="20"/>
                    </w:rPr>
                    <w:t>15,00</w:t>
                  </w:r>
                </w:p>
              </w:tc>
            </w:tr>
          </w:tbl>
          <w:p w14:paraId="74C7BFE8" w14:textId="77777777" w:rsidR="004A0F85" w:rsidRPr="00F465E9" w:rsidRDefault="004A0F85" w:rsidP="00032669">
            <w:pPr>
              <w:tabs>
                <w:tab w:val="left" w:pos="7011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5F93452" w14:textId="3FD6530D" w:rsidR="00F465E9" w:rsidRPr="00F465E9" w:rsidRDefault="00F465E9" w:rsidP="00032669">
            <w:pPr>
              <w:tabs>
                <w:tab w:val="left" w:pos="7011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465E9" w:rsidRPr="00F465E9" w14:paraId="2FF94D23" w14:textId="77777777" w:rsidTr="00F26A2A">
        <w:tc>
          <w:tcPr>
            <w:tcW w:w="1809" w:type="dxa"/>
          </w:tcPr>
          <w:p w14:paraId="79917A1C" w14:textId="77777777" w:rsidR="00F465E9" w:rsidRPr="00F465E9" w:rsidRDefault="00F465E9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8505" w:type="dxa"/>
          </w:tcPr>
          <w:p w14:paraId="5D5C10B1" w14:textId="620F449D" w:rsidR="00F465E9" w:rsidRPr="0049522F" w:rsidRDefault="0049522F" w:rsidP="0003266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522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Montāžas darbus paredzēt materiālu izmaksās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F465E9" w:rsidRPr="00F465E9" w14:paraId="4C5400D3" w14:textId="77777777" w:rsidTr="00F26A2A">
        <w:tc>
          <w:tcPr>
            <w:tcW w:w="10314" w:type="dxa"/>
            <w:gridSpan w:val="2"/>
            <w:shd w:val="clear" w:color="auto" w:fill="CCFFCC"/>
          </w:tcPr>
          <w:p w14:paraId="0A1114B4" w14:textId="77777777" w:rsidR="00F465E9" w:rsidRPr="00DC52B1" w:rsidRDefault="00F465E9" w:rsidP="00032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F465E9" w:rsidRPr="00F465E9" w14:paraId="75325262" w14:textId="77777777" w:rsidTr="00F26A2A">
        <w:trPr>
          <w:trHeight w:val="2943"/>
        </w:trPr>
        <w:tc>
          <w:tcPr>
            <w:tcW w:w="1809" w:type="dxa"/>
          </w:tcPr>
          <w:p w14:paraId="4DB08AC6" w14:textId="64304041" w:rsidR="00F465E9" w:rsidRPr="00F465E9" w:rsidRDefault="00D52EB5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9.</w:t>
            </w:r>
            <w:r w:rsidR="00F465E9"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Jautājums</w:t>
            </w:r>
          </w:p>
        </w:tc>
        <w:tc>
          <w:tcPr>
            <w:tcW w:w="8505" w:type="dxa"/>
          </w:tcPr>
          <w:p w14:paraId="0E2E5D25" w14:textId="77777777" w:rsidR="00F465E9" w:rsidRPr="00F465E9" w:rsidRDefault="00F465E9" w:rsidP="0003266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5E9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Projekta dokumentācijā minēts, ka projektētās brauktuves segas konstrukcijas nesaistīto </w:t>
            </w:r>
            <w:proofErr w:type="spellStart"/>
            <w:r w:rsidRPr="00F465E9">
              <w:rPr>
                <w:rFonts w:ascii="Arial" w:hAnsi="Arial" w:cs="Arial"/>
                <w:color w:val="000000"/>
                <w:sz w:val="20"/>
                <w:szCs w:val="20"/>
              </w:rPr>
              <w:t>minerālmateriālu</w:t>
            </w:r>
            <w:proofErr w:type="spellEnd"/>
            <w:r w:rsidRPr="00F465E9">
              <w:rPr>
                <w:rFonts w:ascii="Arial" w:hAnsi="Arial" w:cs="Arial"/>
                <w:color w:val="000000"/>
                <w:sz w:val="20"/>
                <w:szCs w:val="20"/>
              </w:rPr>
              <w:t xml:space="preserve"> maisījumi ir jāparedz ar Losandželosas koeficientu LA/&lt;25. Vadoties pēc "</w:t>
            </w:r>
            <w:r w:rsidRPr="00F465E9">
              <w:rPr>
                <w:rFonts w:ascii="Arial" w:hAnsi="Arial" w:cs="Arial"/>
                <w:color w:val="005A95"/>
                <w:sz w:val="20"/>
                <w:szCs w:val="20"/>
              </w:rPr>
              <w:t>Ce</w:t>
            </w:r>
            <w:r w:rsidRPr="00F465E9">
              <w:rPr>
                <w:rFonts w:ascii="Arial" w:hAnsi="Arial" w:cs="Arial"/>
                <w:color w:val="000000"/>
                <w:sz w:val="20"/>
                <w:szCs w:val="20"/>
              </w:rPr>
              <w:t>ļu specifikācijas 2014" un "</w:t>
            </w:r>
            <w:r w:rsidRPr="00F465E9">
              <w:rPr>
                <w:rFonts w:ascii="Arial" w:hAnsi="Arial" w:cs="Arial"/>
                <w:color w:val="005A95"/>
                <w:sz w:val="20"/>
                <w:szCs w:val="20"/>
              </w:rPr>
              <w:t>Ce</w:t>
            </w:r>
            <w:r w:rsidRPr="00F465E9">
              <w:rPr>
                <w:rFonts w:ascii="Arial" w:hAnsi="Arial" w:cs="Arial"/>
                <w:color w:val="000000"/>
                <w:sz w:val="20"/>
                <w:szCs w:val="20"/>
              </w:rPr>
              <w:t xml:space="preserve">ļu </w:t>
            </w:r>
            <w:proofErr w:type="spellStart"/>
            <w:r w:rsidRPr="00F465E9">
              <w:rPr>
                <w:rFonts w:ascii="Arial" w:hAnsi="Arial" w:cs="Arial"/>
                <w:color w:val="000000"/>
                <w:sz w:val="20"/>
                <w:szCs w:val="20"/>
              </w:rPr>
              <w:t>specifikācIjas</w:t>
            </w:r>
            <w:proofErr w:type="spellEnd"/>
            <w:r w:rsidRPr="00F465E9">
              <w:rPr>
                <w:rFonts w:ascii="Arial" w:hAnsi="Arial" w:cs="Arial"/>
                <w:color w:val="000000"/>
                <w:sz w:val="20"/>
                <w:szCs w:val="20"/>
              </w:rPr>
              <w:t xml:space="preserve"> 2017" prasībām var secināt, ka pie projektā noteiktās satiksmes intensitātes, būtu nepieciešams pamata nesošai virskārtai N-II klase, kas attiecīgi atbilst Losandželosas koeficientam LA/&lt;35, un pamata nesošai apakškārtai N-III klase, kas attiecīgi atbilst Losandželosas koeficientam LA/&lt;40.</w:t>
            </w:r>
          </w:p>
          <w:p w14:paraId="4753CED3" w14:textId="2EC1E4CF" w:rsidR="00DC52B1" w:rsidRPr="00ED3FE4" w:rsidRDefault="00F465E9" w:rsidP="00E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5E9">
              <w:rPr>
                <w:rFonts w:ascii="Arial" w:hAnsi="Arial" w:cs="Arial"/>
                <w:color w:val="000000"/>
                <w:sz w:val="20"/>
                <w:szCs w:val="20"/>
              </w:rPr>
              <w:t xml:space="preserve">Jautājums: Vai aprēķinot seguma izmaksas ir jāņem vērā projektā norādītās prasības </w:t>
            </w:r>
            <w:proofErr w:type="spellStart"/>
            <w:r w:rsidRPr="00F465E9">
              <w:rPr>
                <w:rFonts w:ascii="Arial" w:hAnsi="Arial" w:cs="Arial"/>
                <w:color w:val="000000"/>
                <w:sz w:val="20"/>
                <w:szCs w:val="20"/>
              </w:rPr>
              <w:t>minerālmateriālu</w:t>
            </w:r>
            <w:proofErr w:type="spellEnd"/>
            <w:r w:rsidRPr="00F465E9">
              <w:rPr>
                <w:rFonts w:ascii="Arial" w:hAnsi="Arial" w:cs="Arial"/>
                <w:color w:val="000000"/>
                <w:sz w:val="20"/>
                <w:szCs w:val="20"/>
              </w:rPr>
              <w:t xml:space="preserve"> maisījumiem ar LA/&lt;25, vai arī projektā minētais koeficients ir norādīts kļūdaini?</w:t>
            </w:r>
          </w:p>
        </w:tc>
      </w:tr>
      <w:tr w:rsidR="00F465E9" w:rsidRPr="00F465E9" w14:paraId="1FF3A889" w14:textId="77777777" w:rsidTr="00F26A2A">
        <w:tc>
          <w:tcPr>
            <w:tcW w:w="1809" w:type="dxa"/>
          </w:tcPr>
          <w:p w14:paraId="268F82B9" w14:textId="77777777" w:rsidR="00F465E9" w:rsidRPr="00F465E9" w:rsidRDefault="00F465E9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8505" w:type="dxa"/>
          </w:tcPr>
          <w:p w14:paraId="32DB3E59" w14:textId="09BE8F1A" w:rsidR="00F465E9" w:rsidRPr="00F465E9" w:rsidRDefault="008A65EA" w:rsidP="0003266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A65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Projektētās brauktuves segas konstrukcijas nesaistīto </w:t>
            </w:r>
            <w:proofErr w:type="spellStart"/>
            <w:r w:rsidRPr="008A65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minerālmateriālu</w:t>
            </w:r>
            <w:proofErr w:type="spellEnd"/>
            <w:r w:rsidRPr="008A65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maisījuma Losandželosas koeficientu </w:t>
            </w:r>
            <w:r w:rsidR="005D255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paredzēt</w:t>
            </w:r>
            <w:r w:rsidRPr="008A65E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atbilstoši Ceļu specifikācijas 2017</w:t>
            </w:r>
            <w:r w:rsidR="005D255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prasībām.</w:t>
            </w:r>
          </w:p>
        </w:tc>
      </w:tr>
      <w:tr w:rsidR="00F465E9" w:rsidRPr="00F465E9" w14:paraId="3A71C952" w14:textId="77777777" w:rsidTr="00F26A2A">
        <w:tc>
          <w:tcPr>
            <w:tcW w:w="10314" w:type="dxa"/>
            <w:gridSpan w:val="2"/>
            <w:shd w:val="clear" w:color="auto" w:fill="CCFFCC"/>
          </w:tcPr>
          <w:p w14:paraId="61955F31" w14:textId="77777777" w:rsidR="00F465E9" w:rsidRPr="00DC52B1" w:rsidRDefault="00F465E9" w:rsidP="00032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8C786C" w:rsidRPr="00DC52B1" w14:paraId="37CAAE7B" w14:textId="77777777" w:rsidTr="00F26A2A">
        <w:trPr>
          <w:trHeight w:val="882"/>
        </w:trPr>
        <w:tc>
          <w:tcPr>
            <w:tcW w:w="1809" w:type="dxa"/>
          </w:tcPr>
          <w:p w14:paraId="02147D2E" w14:textId="52679937" w:rsidR="008C786C" w:rsidRPr="00F465E9" w:rsidRDefault="008C786C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10.</w:t>
            </w:r>
            <w:r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Jautājums</w:t>
            </w:r>
          </w:p>
        </w:tc>
        <w:tc>
          <w:tcPr>
            <w:tcW w:w="8505" w:type="dxa"/>
          </w:tcPr>
          <w:p w14:paraId="7F09D8AF" w14:textId="494929F6" w:rsidR="008C786C" w:rsidRPr="008C786C" w:rsidRDefault="008C786C" w:rsidP="0003266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86C">
              <w:rPr>
                <w:rFonts w:ascii="Arial" w:hAnsi="Arial" w:cs="Arial"/>
                <w:color w:val="000000"/>
                <w:sz w:val="20"/>
                <w:szCs w:val="20"/>
              </w:rPr>
              <w:t>Lūdzu precizēt Lokālās tāmes 1.1</w:t>
            </w:r>
            <w:r w:rsidR="009450F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6236F1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="009450F0" w:rsidRPr="006236F1">
              <w:rPr>
                <w:rFonts w:ascii="Arial" w:hAnsi="Arial" w:cs="Arial"/>
                <w:i/>
                <w:color w:val="000000"/>
                <w:sz w:val="20"/>
                <w:szCs w:val="20"/>
              </w:rPr>
              <w:t>Ielas rekonstrukcija (1.kārta, Peldu iela)</w:t>
            </w:r>
            <w:r w:rsidR="006236F1">
              <w:rPr>
                <w:rFonts w:ascii="Arial" w:hAnsi="Arial" w:cs="Arial"/>
                <w:color w:val="000000"/>
                <w:sz w:val="20"/>
                <w:szCs w:val="20"/>
              </w:rPr>
              <w:t xml:space="preserve">” </w:t>
            </w:r>
            <w:r w:rsidRPr="008C786C">
              <w:rPr>
                <w:rFonts w:ascii="Arial" w:hAnsi="Arial" w:cs="Arial"/>
                <w:color w:val="000000"/>
                <w:sz w:val="20"/>
                <w:szCs w:val="20"/>
              </w:rPr>
              <w:t>Poz.6.3-6.5 un Lokālās tāmes 2.1</w:t>
            </w:r>
            <w:r w:rsidR="006236F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6236F1" w:rsidRPr="006236F1">
              <w:rPr>
                <w:rFonts w:ascii="Arial" w:hAnsi="Arial" w:cs="Arial"/>
                <w:i/>
                <w:color w:val="000000"/>
                <w:sz w:val="20"/>
                <w:szCs w:val="20"/>
              </w:rPr>
              <w:t>“</w:t>
            </w:r>
            <w:r w:rsidR="006236F1" w:rsidRPr="006236F1">
              <w:rPr>
                <w:rFonts w:ascii="Arial" w:hAnsi="Arial" w:cs="Arial"/>
                <w:i/>
                <w:color w:val="000000"/>
                <w:sz w:val="20"/>
                <w:szCs w:val="20"/>
              </w:rPr>
              <w:t>Ielas rekonstrukcija (2.kārta, Aleja uz Gulbju dīķi)</w:t>
            </w:r>
            <w:r w:rsidR="006236F1" w:rsidRPr="006236F1">
              <w:rPr>
                <w:rFonts w:ascii="Arial" w:hAnsi="Arial" w:cs="Arial"/>
                <w:i/>
                <w:color w:val="000000"/>
                <w:sz w:val="20"/>
                <w:szCs w:val="20"/>
              </w:rPr>
              <w:t>”</w:t>
            </w:r>
            <w:r w:rsidR="006236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786C">
              <w:rPr>
                <w:rFonts w:ascii="Arial" w:hAnsi="Arial" w:cs="Arial"/>
                <w:color w:val="000000"/>
                <w:sz w:val="20"/>
                <w:szCs w:val="20"/>
              </w:rPr>
              <w:t>Poz.6.2 "Krūmu un puķu stādīšana, dobes veidošana" konkrētu skaitu katrai pozīcijai, jo ar izteikto pozīcijas vienību "m2" ir ļoti grūti veikt korektu aprēķinu.</w:t>
            </w:r>
          </w:p>
        </w:tc>
      </w:tr>
      <w:tr w:rsidR="008C786C" w:rsidRPr="00F465E9" w14:paraId="0033CD9C" w14:textId="77777777" w:rsidTr="00ED3FE4">
        <w:trPr>
          <w:trHeight w:val="3980"/>
        </w:trPr>
        <w:tc>
          <w:tcPr>
            <w:tcW w:w="1809" w:type="dxa"/>
          </w:tcPr>
          <w:p w14:paraId="759476BA" w14:textId="77777777" w:rsidR="008C786C" w:rsidRPr="00F465E9" w:rsidRDefault="008C786C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8505" w:type="dxa"/>
          </w:tcPr>
          <w:p w14:paraId="6F554D74" w14:textId="7BD8DAA7" w:rsidR="008C786C" w:rsidRDefault="00317BE5" w:rsidP="0003266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Zemāk norādīts </w:t>
            </w:r>
            <w:r w:rsidR="005D255D" w:rsidRPr="005D255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stādījumu skaits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katrai dobei</w:t>
            </w:r>
            <w:r w:rsidR="00CA6A5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atbilstoši rasējumam </w:t>
            </w:r>
            <w:r w:rsidR="006236F1" w:rsidRPr="008C786C">
              <w:rPr>
                <w:rFonts w:ascii="Arial" w:hAnsi="Arial" w:cs="Arial"/>
                <w:color w:val="000000"/>
                <w:sz w:val="20"/>
                <w:szCs w:val="20"/>
              </w:rPr>
              <w:t>Lokālās tāmes 1.1</w:t>
            </w:r>
            <w:r w:rsidR="006236F1">
              <w:rPr>
                <w:rFonts w:ascii="Arial" w:hAnsi="Arial" w:cs="Arial"/>
                <w:color w:val="000000"/>
                <w:sz w:val="20"/>
                <w:szCs w:val="20"/>
              </w:rPr>
              <w:t>. “</w:t>
            </w:r>
            <w:r w:rsidR="006236F1" w:rsidRPr="006236F1">
              <w:rPr>
                <w:rFonts w:ascii="Arial" w:hAnsi="Arial" w:cs="Arial"/>
                <w:i/>
                <w:color w:val="000000"/>
                <w:sz w:val="20"/>
                <w:szCs w:val="20"/>
              </w:rPr>
              <w:t>Ielas rekonstrukcija (1.kārta, Peldu iela)</w:t>
            </w:r>
            <w:r w:rsidR="006236F1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="006236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36F1" w:rsidRPr="008C786C">
              <w:rPr>
                <w:rFonts w:ascii="Arial" w:hAnsi="Arial" w:cs="Arial"/>
                <w:color w:val="000000"/>
                <w:sz w:val="20"/>
                <w:szCs w:val="20"/>
              </w:rPr>
              <w:t>Poz.6.3-6.5 un Lokālās tāmes 2.1</w:t>
            </w:r>
            <w:r w:rsidR="006236F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6236F1" w:rsidRPr="006236F1">
              <w:rPr>
                <w:rFonts w:ascii="Arial" w:hAnsi="Arial" w:cs="Arial"/>
                <w:i/>
                <w:color w:val="000000"/>
                <w:sz w:val="20"/>
                <w:szCs w:val="20"/>
              </w:rPr>
              <w:t>“Ielas rekonstrukcija (2.kārta, Aleja uz Gulbju dīķi)”</w:t>
            </w:r>
            <w:r w:rsidR="006236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36F1" w:rsidRPr="008C786C">
              <w:rPr>
                <w:rFonts w:ascii="Arial" w:hAnsi="Arial" w:cs="Arial"/>
                <w:color w:val="000000"/>
                <w:sz w:val="20"/>
                <w:szCs w:val="20"/>
              </w:rPr>
              <w:t>Poz.6.2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pozīcijās</w:t>
            </w:r>
            <w:r w:rsidR="006236F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14:paraId="4AF5B995" w14:textId="77777777" w:rsidR="005D255D" w:rsidRDefault="005D255D" w:rsidP="0003266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BD42E22" w14:textId="17FC760E" w:rsidR="005D255D" w:rsidRDefault="005D255D" w:rsidP="0003266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US"/>
              </w:rPr>
              <w:drawing>
                <wp:inline distT="0" distB="0" distL="0" distR="0" wp14:anchorId="4C4888A4" wp14:editId="70DAE127">
                  <wp:extent cx="5172075" cy="15521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8635" cy="1566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49A551" w14:textId="77777777" w:rsidR="005D255D" w:rsidRDefault="005D255D" w:rsidP="0003266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FD06668" w14:textId="1510F9E8" w:rsidR="005D255D" w:rsidRDefault="005D255D" w:rsidP="0003266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8369979" wp14:editId="581E14CE">
                  <wp:extent cx="5172075" cy="1389775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766" cy="1412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4FEF4E" w14:textId="40DADF8F" w:rsidR="005D255D" w:rsidRDefault="005D255D" w:rsidP="0003266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7BF4791" w14:textId="70295E9D" w:rsidR="005D255D" w:rsidRDefault="005D255D" w:rsidP="0003266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E1F9E2C" wp14:editId="3C6463D7">
                  <wp:extent cx="1609725" cy="238715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458" cy="2457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9BB9CD" w14:textId="4FDD6763" w:rsidR="005D255D" w:rsidRPr="00F465E9" w:rsidRDefault="005D255D" w:rsidP="0003266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6C" w:rsidRPr="00DC52B1" w14:paraId="2C6CD981" w14:textId="77777777" w:rsidTr="00F26A2A">
        <w:tc>
          <w:tcPr>
            <w:tcW w:w="10314" w:type="dxa"/>
            <w:gridSpan w:val="2"/>
            <w:shd w:val="clear" w:color="auto" w:fill="CCFFCC"/>
          </w:tcPr>
          <w:p w14:paraId="5E638EDF" w14:textId="77777777" w:rsidR="008C786C" w:rsidRPr="00DC52B1" w:rsidRDefault="008C786C" w:rsidP="00032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8C786C" w:rsidRPr="00DC52B1" w14:paraId="5079E105" w14:textId="77777777" w:rsidTr="00032669">
        <w:trPr>
          <w:trHeight w:val="4444"/>
        </w:trPr>
        <w:tc>
          <w:tcPr>
            <w:tcW w:w="1809" w:type="dxa"/>
          </w:tcPr>
          <w:p w14:paraId="6EB691D3" w14:textId="77777777" w:rsidR="00486D6F" w:rsidRDefault="00486D6F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222D849" w14:textId="13E2612C" w:rsidR="008C786C" w:rsidRPr="00F465E9" w:rsidRDefault="008C786C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11.</w:t>
            </w:r>
            <w:r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Jautājums</w:t>
            </w:r>
          </w:p>
        </w:tc>
        <w:tc>
          <w:tcPr>
            <w:tcW w:w="8505" w:type="dxa"/>
          </w:tcPr>
          <w:p w14:paraId="14D1A6FE" w14:textId="64732DA6" w:rsidR="008C786C" w:rsidRPr="00032669" w:rsidRDefault="00F26A2A" w:rsidP="0003266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6D6F" w:rsidRPr="00F26A2A">
              <w:rPr>
                <w:rFonts w:ascii="Arial" w:hAnsi="Arial" w:cs="Arial"/>
                <w:color w:val="000000"/>
                <w:sz w:val="20"/>
                <w:szCs w:val="20"/>
              </w:rPr>
              <w:t>Kādi tieši un cik daudz Alejas</w:t>
            </w:r>
            <w:r w:rsidRPr="00F26A2A">
              <w:rPr>
                <w:rFonts w:ascii="Arial" w:hAnsi="Arial" w:cs="Arial"/>
                <w:color w:val="000000"/>
                <w:sz w:val="20"/>
                <w:szCs w:val="20"/>
              </w:rPr>
              <w:t xml:space="preserve"> gaismekļi ir jāpiedāvā objektā “Peldu ielas pārbūve </w:t>
            </w:r>
            <w:r w:rsidRPr="00032669">
              <w:rPr>
                <w:rFonts w:ascii="Arial" w:hAnsi="Arial" w:cs="Arial"/>
                <w:color w:val="000000"/>
                <w:sz w:val="20"/>
                <w:szCs w:val="20"/>
              </w:rPr>
              <w:t xml:space="preserve">posmā no Liepu ielas līdz Kūrmājas prospektam, Liepājā”? Lokālā tāmē Nr. 1.5. norādīts, ka nepieciešami 10 </w:t>
            </w:r>
            <w:proofErr w:type="spellStart"/>
            <w:r w:rsidRPr="00032669">
              <w:rPr>
                <w:rFonts w:ascii="Arial" w:hAnsi="Arial" w:cs="Arial"/>
                <w:color w:val="000000"/>
                <w:sz w:val="20"/>
                <w:szCs w:val="20"/>
              </w:rPr>
              <w:t>gb</w:t>
            </w:r>
            <w:proofErr w:type="spellEnd"/>
            <w:r w:rsidRPr="00032669">
              <w:rPr>
                <w:rFonts w:ascii="Arial" w:hAnsi="Arial" w:cs="Arial"/>
                <w:color w:val="000000"/>
                <w:sz w:val="20"/>
                <w:szCs w:val="20"/>
              </w:rPr>
              <w:t xml:space="preserve"> parka LED gaismekļi komplektā ar balstu un pamatu. </w:t>
            </w:r>
          </w:p>
          <w:tbl>
            <w:tblPr>
              <w:tblStyle w:val="Reatabula"/>
              <w:tblW w:w="7976" w:type="dxa"/>
              <w:tblLayout w:type="fixed"/>
              <w:tblLook w:val="04A0" w:firstRow="1" w:lastRow="0" w:firstColumn="1" w:lastColumn="0" w:noHBand="0" w:noVBand="1"/>
            </w:tblPr>
            <w:tblGrid>
              <w:gridCol w:w="463"/>
              <w:gridCol w:w="1560"/>
              <w:gridCol w:w="3685"/>
              <w:gridCol w:w="1276"/>
              <w:gridCol w:w="992"/>
            </w:tblGrid>
            <w:tr w:rsidR="00F26A2A" w:rsidRPr="00032669" w14:paraId="2D958991" w14:textId="77777777" w:rsidTr="00F26A2A">
              <w:tc>
                <w:tcPr>
                  <w:tcW w:w="463" w:type="dxa"/>
                </w:tcPr>
                <w:p w14:paraId="77B55BAE" w14:textId="43421E7E" w:rsidR="00F26A2A" w:rsidRPr="00032669" w:rsidRDefault="00F26A2A" w:rsidP="0003266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86D6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14:paraId="038B177A" w14:textId="1B27E07E" w:rsidR="00F26A2A" w:rsidRPr="00032669" w:rsidRDefault="00F26A2A" w:rsidP="0003266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86D6F">
                    <w:rPr>
                      <w:rFonts w:ascii="Arial" w:hAnsi="Arial" w:cs="Arial"/>
                      <w:sz w:val="20"/>
                      <w:szCs w:val="20"/>
                    </w:rPr>
                    <w:t>22-00000</w:t>
                  </w:r>
                </w:p>
              </w:tc>
              <w:tc>
                <w:tcPr>
                  <w:tcW w:w="3685" w:type="dxa"/>
                </w:tcPr>
                <w:p w14:paraId="0A106124" w14:textId="7B2BE3DA" w:rsidR="00F26A2A" w:rsidRPr="00032669" w:rsidRDefault="00F26A2A" w:rsidP="0003266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86D6F">
                    <w:rPr>
                      <w:rFonts w:ascii="Arial" w:hAnsi="Arial" w:cs="Arial"/>
                      <w:sz w:val="20"/>
                      <w:szCs w:val="20"/>
                    </w:rPr>
                    <w:t>Parka LED gaismeklis rotācijas aplī ar balstu h=0.76m, komplektā ar pamatu (skatīt pielikumu Nr.3)</w:t>
                  </w:r>
                </w:p>
              </w:tc>
              <w:tc>
                <w:tcPr>
                  <w:tcW w:w="1276" w:type="dxa"/>
                </w:tcPr>
                <w:p w14:paraId="316B4FEF" w14:textId="6DE741D1" w:rsidR="00F26A2A" w:rsidRPr="00032669" w:rsidRDefault="00F26A2A" w:rsidP="0003266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86D6F">
                    <w:rPr>
                      <w:rFonts w:ascii="Arial" w:hAnsi="Arial" w:cs="Arial"/>
                      <w:sz w:val="20"/>
                      <w:szCs w:val="20"/>
                    </w:rPr>
                    <w:t>kompl</w:t>
                  </w:r>
                  <w:proofErr w:type="spellEnd"/>
                  <w:r w:rsidRPr="00486D6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7CE663F4" w14:textId="2B316CAE" w:rsidR="00F26A2A" w:rsidRPr="00032669" w:rsidRDefault="00F26A2A" w:rsidP="0003266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3266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</w:tr>
          </w:tbl>
          <w:p w14:paraId="488AF079" w14:textId="66CD9E0C" w:rsidR="00F26A2A" w:rsidRPr="00032669" w:rsidRDefault="00F26A2A" w:rsidP="0003266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669">
              <w:rPr>
                <w:rFonts w:ascii="Arial" w:hAnsi="Arial" w:cs="Arial"/>
                <w:color w:val="000000"/>
                <w:sz w:val="20"/>
                <w:szCs w:val="20"/>
              </w:rPr>
              <w:t>Lokālā tāmē nr. 2.5. un pielikumā Nr.3 norādīts, ka nepieciešami jau 11gab.parka LED gaismekļi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"/>
              <w:gridCol w:w="1560"/>
              <w:gridCol w:w="3685"/>
              <w:gridCol w:w="1276"/>
              <w:gridCol w:w="992"/>
            </w:tblGrid>
            <w:tr w:rsidR="00F26A2A" w:rsidRPr="00032669" w14:paraId="78966F54" w14:textId="77777777" w:rsidTr="00032669">
              <w:tc>
                <w:tcPr>
                  <w:tcW w:w="463" w:type="dxa"/>
                </w:tcPr>
                <w:p w14:paraId="56F2338A" w14:textId="1661299A" w:rsidR="00F26A2A" w:rsidRPr="00032669" w:rsidRDefault="00F26A2A" w:rsidP="0003266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266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14:paraId="24B02899" w14:textId="2A45E7A4" w:rsidR="00F26A2A" w:rsidRPr="00032669" w:rsidRDefault="00F26A2A" w:rsidP="0003266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6F">
                    <w:rPr>
                      <w:rFonts w:ascii="Arial" w:hAnsi="Arial" w:cs="Arial"/>
                      <w:sz w:val="20"/>
                      <w:szCs w:val="20"/>
                    </w:rPr>
                    <w:t>22-00000</w:t>
                  </w:r>
                </w:p>
              </w:tc>
              <w:tc>
                <w:tcPr>
                  <w:tcW w:w="3685" w:type="dxa"/>
                </w:tcPr>
                <w:p w14:paraId="15124BE7" w14:textId="0238D20A" w:rsidR="00F26A2A" w:rsidRPr="00032669" w:rsidRDefault="00032669" w:rsidP="0003266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2669">
                    <w:rPr>
                      <w:rFonts w:ascii="Arial" w:hAnsi="Arial" w:cs="Arial"/>
                      <w:sz w:val="20"/>
                      <w:szCs w:val="20"/>
                    </w:rPr>
                    <w:t>Parka gaismeklis LED "</w:t>
                  </w:r>
                  <w:proofErr w:type="spellStart"/>
                  <w:r w:rsidRPr="00032669">
                    <w:rPr>
                      <w:rFonts w:ascii="Arial" w:hAnsi="Arial" w:cs="Arial"/>
                      <w:sz w:val="20"/>
                      <w:szCs w:val="20"/>
                    </w:rPr>
                    <w:t>Harmony</w:t>
                  </w:r>
                  <w:proofErr w:type="spellEnd"/>
                  <w:r w:rsidRPr="00032669">
                    <w:rPr>
                      <w:rFonts w:ascii="Arial" w:hAnsi="Arial" w:cs="Arial"/>
                      <w:sz w:val="20"/>
                      <w:szCs w:val="20"/>
                    </w:rPr>
                    <w:t>" ar balstu H=3,5m komplektā ar betona pamatu, ar Balsta kārbu "</w:t>
                  </w:r>
                  <w:proofErr w:type="spellStart"/>
                  <w:r w:rsidRPr="00032669">
                    <w:rPr>
                      <w:rFonts w:ascii="Arial" w:hAnsi="Arial" w:cs="Arial"/>
                      <w:sz w:val="20"/>
                      <w:szCs w:val="20"/>
                    </w:rPr>
                    <w:t>Vela</w:t>
                  </w:r>
                  <w:proofErr w:type="spellEnd"/>
                  <w:r w:rsidRPr="00032669">
                    <w:rPr>
                      <w:rFonts w:ascii="Arial" w:hAnsi="Arial" w:cs="Arial"/>
                      <w:sz w:val="20"/>
                      <w:szCs w:val="20"/>
                    </w:rPr>
                    <w:t>" 250x250x200 , IP67 vai "ekvivalents"</w:t>
                  </w:r>
                </w:p>
              </w:tc>
              <w:tc>
                <w:tcPr>
                  <w:tcW w:w="1276" w:type="dxa"/>
                </w:tcPr>
                <w:p w14:paraId="79F699FB" w14:textId="04BED297" w:rsidR="00F26A2A" w:rsidRPr="00032669" w:rsidRDefault="00032669" w:rsidP="0003266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32669">
                    <w:rPr>
                      <w:rFonts w:ascii="Arial" w:hAnsi="Arial" w:cs="Arial"/>
                      <w:sz w:val="20"/>
                      <w:szCs w:val="20"/>
                    </w:rPr>
                    <w:t>kompl</w:t>
                  </w:r>
                  <w:proofErr w:type="spellEnd"/>
                  <w:r w:rsidRPr="0003266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047E33D0" w14:textId="09E27066" w:rsidR="00F26A2A" w:rsidRPr="00032669" w:rsidRDefault="00032669" w:rsidP="0003266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2669">
                    <w:rPr>
                      <w:rFonts w:ascii="Arial" w:hAnsi="Arial" w:cs="Arial"/>
                      <w:sz w:val="20"/>
                      <w:szCs w:val="20"/>
                    </w:rPr>
                    <w:t>11,00</w:t>
                  </w:r>
                </w:p>
              </w:tc>
            </w:tr>
          </w:tbl>
          <w:p w14:paraId="64A2B154" w14:textId="0B6DD751" w:rsidR="00F26A2A" w:rsidRPr="00DC52B1" w:rsidRDefault="00032669" w:rsidP="00032669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32669">
              <w:rPr>
                <w:rFonts w:ascii="Arial" w:hAnsi="Arial" w:cs="Arial"/>
                <w:sz w:val="20"/>
                <w:szCs w:val="20"/>
              </w:rPr>
              <w:t>Cik gaismekļi tiks montēti uz stabiem? Vai 1 gaismeklis tiks stiprināts atsevišķi uz sienas?</w:t>
            </w:r>
          </w:p>
        </w:tc>
      </w:tr>
      <w:tr w:rsidR="008C786C" w:rsidRPr="00F465E9" w14:paraId="7C6326F7" w14:textId="77777777" w:rsidTr="00F26A2A">
        <w:tc>
          <w:tcPr>
            <w:tcW w:w="1809" w:type="dxa"/>
          </w:tcPr>
          <w:p w14:paraId="6EBA602B" w14:textId="77777777" w:rsidR="008C786C" w:rsidRPr="00F465E9" w:rsidRDefault="008C786C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8505" w:type="dxa"/>
          </w:tcPr>
          <w:p w14:paraId="0913CA07" w14:textId="2A07C625" w:rsidR="0049522F" w:rsidRPr="0049522F" w:rsidRDefault="0049522F" w:rsidP="0049522F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522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Lokālā tāmē Nr.1.5 pozīcijā Nr.4 ir norādīti LED gaismekļi ar balstu 10.gab, k</w:t>
            </w:r>
            <w:r w:rsidR="006236F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urus</w:t>
            </w:r>
            <w:r w:rsidRPr="0049522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paredzēt</w:t>
            </w:r>
            <w:r w:rsidR="006236F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</w:t>
            </w:r>
            <w:r w:rsidRPr="0049522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izbūvēt rotācija aplī. Rasējuma ELT-3 lapā pieslēgti pie AS-500</w:t>
            </w:r>
          </w:p>
          <w:p w14:paraId="7F084C46" w14:textId="2F78D10F" w:rsidR="008C786C" w:rsidRPr="00F465E9" w:rsidRDefault="0049522F" w:rsidP="0003266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9522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Lokālā tāmē Nr.2.5 pozīcijā Nr.1 ir norādīti LED gaismekļi ar balstu 11.gab, k</w:t>
            </w:r>
            <w:r w:rsidR="006236F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urus</w:t>
            </w:r>
            <w:r w:rsidRPr="0049522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paredzē</w:t>
            </w:r>
            <w:r w:rsidR="006236F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ts</w:t>
            </w:r>
            <w:r w:rsidRPr="0049522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izbūvēt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“Alejā” </w:t>
            </w:r>
            <w:r w:rsidRPr="0049522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posmā no Peldu ielas līdz "Gulbīša dīķim". Rasējuma ELT-3 lapā pieslēgti pie jaunās AS sadales.</w:t>
            </w:r>
          </w:p>
        </w:tc>
      </w:tr>
      <w:tr w:rsidR="008C786C" w:rsidRPr="00DC52B1" w14:paraId="2066C78E" w14:textId="77777777" w:rsidTr="00F26A2A">
        <w:tc>
          <w:tcPr>
            <w:tcW w:w="10314" w:type="dxa"/>
            <w:gridSpan w:val="2"/>
            <w:shd w:val="clear" w:color="auto" w:fill="CCFFCC"/>
          </w:tcPr>
          <w:p w14:paraId="02DAD695" w14:textId="77777777" w:rsidR="008C786C" w:rsidRPr="00DC52B1" w:rsidRDefault="008C786C" w:rsidP="00032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bookmarkStart w:id="6" w:name="_Hlk534640848"/>
          </w:p>
        </w:tc>
      </w:tr>
      <w:bookmarkEnd w:id="6"/>
      <w:tr w:rsidR="008C786C" w:rsidRPr="008C786C" w14:paraId="3E83CD32" w14:textId="77777777" w:rsidTr="006236F1">
        <w:trPr>
          <w:trHeight w:val="436"/>
        </w:trPr>
        <w:tc>
          <w:tcPr>
            <w:tcW w:w="1809" w:type="dxa"/>
          </w:tcPr>
          <w:p w14:paraId="2202599F" w14:textId="7CCF7C27" w:rsidR="008C786C" w:rsidRPr="00F465E9" w:rsidRDefault="008C786C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12.</w:t>
            </w:r>
            <w:r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Jautājums</w:t>
            </w:r>
          </w:p>
        </w:tc>
        <w:tc>
          <w:tcPr>
            <w:tcW w:w="8505" w:type="dxa"/>
          </w:tcPr>
          <w:p w14:paraId="51840065" w14:textId="282A2C95" w:rsidR="008C786C" w:rsidRDefault="00032669" w:rsidP="0003266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669">
              <w:rPr>
                <w:rFonts w:ascii="Arial" w:hAnsi="Arial" w:cs="Arial"/>
                <w:color w:val="000000"/>
                <w:sz w:val="20"/>
                <w:szCs w:val="20"/>
              </w:rPr>
              <w:t>Lokālā tāmē Nr. 1.5. norādīts, ka nepieciešami 10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032669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32669">
              <w:rPr>
                <w:rFonts w:ascii="Arial" w:hAnsi="Arial" w:cs="Arial"/>
                <w:color w:val="000000"/>
                <w:sz w:val="20"/>
                <w:szCs w:val="20"/>
              </w:rPr>
              <w:t xml:space="preserve"> parka LED gaismekļi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 precīzs gaismekļa apraksts ir atrodams pielikumā nr.3 </w:t>
            </w:r>
          </w:p>
          <w:tbl>
            <w:tblPr>
              <w:tblStyle w:val="Reatabula"/>
              <w:tblW w:w="7976" w:type="dxa"/>
              <w:tblLayout w:type="fixed"/>
              <w:tblLook w:val="04A0" w:firstRow="1" w:lastRow="0" w:firstColumn="1" w:lastColumn="0" w:noHBand="0" w:noVBand="1"/>
            </w:tblPr>
            <w:tblGrid>
              <w:gridCol w:w="463"/>
              <w:gridCol w:w="1560"/>
              <w:gridCol w:w="3685"/>
              <w:gridCol w:w="1276"/>
              <w:gridCol w:w="992"/>
            </w:tblGrid>
            <w:tr w:rsidR="00032669" w:rsidRPr="00032669" w14:paraId="5D754AD0" w14:textId="77777777" w:rsidTr="002C2F26">
              <w:tc>
                <w:tcPr>
                  <w:tcW w:w="463" w:type="dxa"/>
                </w:tcPr>
                <w:p w14:paraId="179BB327" w14:textId="77777777" w:rsidR="00032669" w:rsidRPr="00032669" w:rsidRDefault="00032669" w:rsidP="0003266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86D6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14:paraId="4B34A2C1" w14:textId="77777777" w:rsidR="00032669" w:rsidRPr="00032669" w:rsidRDefault="00032669" w:rsidP="0003266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86D6F">
                    <w:rPr>
                      <w:rFonts w:ascii="Arial" w:hAnsi="Arial" w:cs="Arial"/>
                      <w:sz w:val="20"/>
                      <w:szCs w:val="20"/>
                    </w:rPr>
                    <w:t>22-00000</w:t>
                  </w:r>
                </w:p>
              </w:tc>
              <w:tc>
                <w:tcPr>
                  <w:tcW w:w="3685" w:type="dxa"/>
                </w:tcPr>
                <w:p w14:paraId="3D5499CF" w14:textId="77777777" w:rsidR="00032669" w:rsidRPr="00032669" w:rsidRDefault="00032669" w:rsidP="0003266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86D6F">
                    <w:rPr>
                      <w:rFonts w:ascii="Arial" w:hAnsi="Arial" w:cs="Arial"/>
                      <w:sz w:val="20"/>
                      <w:szCs w:val="20"/>
                    </w:rPr>
                    <w:t>Parka LED gaismeklis rotācijas aplī ar balstu h=0.76m, komplektā ar pamatu (skatīt pielikumu Nr.3)</w:t>
                  </w:r>
                </w:p>
              </w:tc>
              <w:tc>
                <w:tcPr>
                  <w:tcW w:w="1276" w:type="dxa"/>
                </w:tcPr>
                <w:p w14:paraId="719D6FEA" w14:textId="77777777" w:rsidR="00032669" w:rsidRPr="00032669" w:rsidRDefault="00032669" w:rsidP="0003266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86D6F">
                    <w:rPr>
                      <w:rFonts w:ascii="Arial" w:hAnsi="Arial" w:cs="Arial"/>
                      <w:sz w:val="20"/>
                      <w:szCs w:val="20"/>
                    </w:rPr>
                    <w:t>kompl</w:t>
                  </w:r>
                  <w:proofErr w:type="spellEnd"/>
                  <w:r w:rsidRPr="00486D6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3FDB5C6B" w14:textId="77777777" w:rsidR="00032669" w:rsidRPr="00032669" w:rsidRDefault="00032669" w:rsidP="0003266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3266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</w:tr>
          </w:tbl>
          <w:p w14:paraId="22539AFC" w14:textId="77777777" w:rsidR="009B53A3" w:rsidRPr="009B53A3" w:rsidRDefault="009B53A3" w:rsidP="00472A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3A3">
              <w:rPr>
                <w:rFonts w:ascii="Arial" w:hAnsi="Arial" w:cs="Arial"/>
                <w:color w:val="000000"/>
                <w:sz w:val="20"/>
                <w:szCs w:val="20"/>
              </w:rPr>
              <w:t>Alejas gaismeklis</w:t>
            </w:r>
          </w:p>
          <w:p w14:paraId="7C6D6C04" w14:textId="77777777" w:rsidR="009B53A3" w:rsidRPr="009B53A3" w:rsidRDefault="009B53A3" w:rsidP="00472A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3A3">
              <w:rPr>
                <w:rFonts w:ascii="Arial" w:hAnsi="Arial" w:cs="Arial"/>
                <w:color w:val="000000"/>
                <w:sz w:val="20"/>
                <w:szCs w:val="20"/>
              </w:rPr>
              <w:t>Izbūvēt 11 gaismekļus</w:t>
            </w:r>
          </w:p>
          <w:p w14:paraId="32CA56F6" w14:textId="024C7870" w:rsidR="009B53A3" w:rsidRDefault="009B53A3" w:rsidP="00472A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3A3">
              <w:rPr>
                <w:rFonts w:ascii="Arial" w:hAnsi="Arial" w:cs="Arial"/>
                <w:color w:val="000000"/>
                <w:sz w:val="20"/>
                <w:szCs w:val="20"/>
              </w:rPr>
              <w:t>Parka gaismeklis 196F1/1M7, 70W E27, “</w:t>
            </w:r>
            <w:proofErr w:type="spellStart"/>
            <w:r w:rsidRPr="009B53A3">
              <w:rPr>
                <w:rFonts w:ascii="Arial" w:hAnsi="Arial" w:cs="Arial"/>
                <w:color w:val="000000"/>
                <w:sz w:val="20"/>
                <w:szCs w:val="20"/>
              </w:rPr>
              <w:t>Harmony</w:t>
            </w:r>
            <w:proofErr w:type="spellEnd"/>
            <w:r w:rsidRPr="009B53A3">
              <w:rPr>
                <w:rFonts w:ascii="Arial" w:hAnsi="Arial" w:cs="Arial"/>
                <w:color w:val="000000"/>
                <w:sz w:val="20"/>
                <w:szCs w:val="20"/>
              </w:rPr>
              <w:t>” h=3.5m ar “</w:t>
            </w:r>
            <w:proofErr w:type="spellStart"/>
            <w:r w:rsidRPr="009B53A3">
              <w:rPr>
                <w:rFonts w:ascii="Arial" w:hAnsi="Arial" w:cs="Arial"/>
                <w:color w:val="000000"/>
                <w:sz w:val="20"/>
                <w:szCs w:val="20"/>
              </w:rPr>
              <w:t>Vela</w:t>
            </w:r>
            <w:proofErr w:type="spellEnd"/>
            <w:r w:rsidRPr="009B53A3">
              <w:rPr>
                <w:rFonts w:ascii="Arial" w:hAnsi="Arial" w:cs="Arial"/>
                <w:color w:val="000000"/>
                <w:sz w:val="20"/>
                <w:szCs w:val="20"/>
              </w:rPr>
              <w:t>” balsta kārbu IP</w:t>
            </w:r>
            <w:r w:rsidR="00472A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53A3">
              <w:rPr>
                <w:rFonts w:ascii="Arial" w:hAnsi="Arial" w:cs="Arial"/>
                <w:color w:val="000000"/>
                <w:sz w:val="20"/>
                <w:szCs w:val="20"/>
              </w:rPr>
              <w:t>68 250x250x200 vai “ekvivalents”.</w:t>
            </w:r>
          </w:p>
          <w:p w14:paraId="22D31A11" w14:textId="2864818A" w:rsidR="00032669" w:rsidRDefault="00032669" w:rsidP="0003266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Pielikumā nr.3 norādīts norādītais artikuls 196F1/1M7 ražotāja AUGENTI piedāvājumā nav atrodams. Sērija 196F1 ir montējama uz staba, bet artikula otra puse /1M7 norāda, ka gaismeklis ir paredzēts uz 70W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metālhalīda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spuldzi (kurš ir iespējams tikai modifikācijā, kad gaismeklis tiek stiprināts pie sienas). Ja nepieciešams gaismeklis ar LED modifikāciju tad pareizais kods būtu 196F1/1NL un gaismekļa jauda būtu 34W PLED LED 3600lm 4000K (skatīt pielikumu 196F1)</w:t>
            </w:r>
          </w:p>
          <w:p w14:paraId="4F34FABC" w14:textId="2191F0A9" w:rsidR="00472A30" w:rsidRPr="008C786C" w:rsidRDefault="00032669" w:rsidP="0003266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Vai mums pieņemt, ka šis ir pareizais kods?</w:t>
            </w:r>
          </w:p>
        </w:tc>
      </w:tr>
      <w:tr w:rsidR="008C786C" w:rsidRPr="00F465E9" w14:paraId="76EF0EAD" w14:textId="77777777" w:rsidTr="00F26A2A">
        <w:tc>
          <w:tcPr>
            <w:tcW w:w="1809" w:type="dxa"/>
          </w:tcPr>
          <w:p w14:paraId="6163DB44" w14:textId="77777777" w:rsidR="008C786C" w:rsidRPr="00F465E9" w:rsidRDefault="008C786C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Skaidrojums</w:t>
            </w:r>
          </w:p>
        </w:tc>
        <w:tc>
          <w:tcPr>
            <w:tcW w:w="8505" w:type="dxa"/>
          </w:tcPr>
          <w:p w14:paraId="1DE386DC" w14:textId="05765B0C" w:rsidR="008C786C" w:rsidRDefault="0049522F" w:rsidP="0003266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Lokālā tāmē Nr.1</w:t>
            </w:r>
            <w:r w:rsidR="00D6578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.5 pozīcija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Nr.4 gaismekļus</w:t>
            </w:r>
            <w:r w:rsidR="00D6578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ar balstu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rotācijas aplī paredzēt ar LED diodēm.</w:t>
            </w:r>
          </w:p>
          <w:p w14:paraId="4EDFB351" w14:textId="288F7EF4" w:rsidR="0049522F" w:rsidRPr="00F465E9" w:rsidRDefault="0049522F" w:rsidP="00032669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Lokālā tāmē </w:t>
            </w:r>
            <w:r w:rsidR="00D6578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Nr.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2.5 pozīcija Nr.1 gaismekļus </w:t>
            </w:r>
            <w:r w:rsidR="00D6578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“</w:t>
            </w:r>
            <w:proofErr w:type="spellStart"/>
            <w:r w:rsidR="00D6578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Harmony</w:t>
            </w:r>
            <w:proofErr w:type="spellEnd"/>
            <w:r w:rsidR="00D6578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” ar “</w:t>
            </w:r>
            <w:proofErr w:type="spellStart"/>
            <w:r w:rsidR="00D6578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Vela</w:t>
            </w:r>
            <w:proofErr w:type="spellEnd"/>
            <w:r w:rsidR="00D6578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” balsta kārbu paredzēt ar LED diodēm.</w:t>
            </w:r>
          </w:p>
        </w:tc>
      </w:tr>
      <w:tr w:rsidR="00472A30" w:rsidRPr="00DC52B1" w14:paraId="3A763E6D" w14:textId="77777777" w:rsidTr="002C2F26">
        <w:tc>
          <w:tcPr>
            <w:tcW w:w="10314" w:type="dxa"/>
            <w:gridSpan w:val="2"/>
            <w:shd w:val="clear" w:color="auto" w:fill="CCFFCC"/>
          </w:tcPr>
          <w:p w14:paraId="0078EF05" w14:textId="3CB972E0" w:rsidR="00472A30" w:rsidRPr="00DC52B1" w:rsidRDefault="00472A30" w:rsidP="002C2F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9A166C" w:rsidRPr="008C786C" w14:paraId="2958B8C5" w14:textId="77777777" w:rsidTr="001155B8">
        <w:trPr>
          <w:trHeight w:val="882"/>
        </w:trPr>
        <w:tc>
          <w:tcPr>
            <w:tcW w:w="1809" w:type="dxa"/>
          </w:tcPr>
          <w:p w14:paraId="0CD0E404" w14:textId="154EE403" w:rsidR="009A166C" w:rsidRPr="00F465E9" w:rsidRDefault="009A166C" w:rsidP="001155B8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13.</w:t>
            </w:r>
            <w:r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Jautājums</w:t>
            </w:r>
          </w:p>
        </w:tc>
        <w:tc>
          <w:tcPr>
            <w:tcW w:w="8505" w:type="dxa"/>
          </w:tcPr>
          <w:p w14:paraId="62788CC2" w14:textId="77777777" w:rsidR="009A166C" w:rsidRPr="009A166C" w:rsidRDefault="009A166C" w:rsidP="009A16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166C">
              <w:rPr>
                <w:rFonts w:ascii="Arial" w:hAnsi="Arial" w:cs="Arial"/>
                <w:sz w:val="20"/>
                <w:szCs w:val="20"/>
              </w:rPr>
              <w:t>Saskaņā ar Konkursa nolikuma 3.8. punktu pretendenta gada vidējam finanšu apgrozījumam būvniecībā</w:t>
            </w:r>
            <w:r w:rsidRPr="009A166C">
              <w:rPr>
                <w:rFonts w:ascii="Arial" w:hAnsi="Arial" w:cs="Arial"/>
                <w:iCs/>
                <w:sz w:val="20"/>
                <w:szCs w:val="20"/>
              </w:rPr>
              <w:t xml:space="preserve"> par iepriekšējiem trīs finanšu gadiem ir jābūt vismaz 1’500’000,00 EUR (viens miljons pieci simti tūkstoši </w:t>
            </w:r>
            <w:proofErr w:type="spellStart"/>
            <w:r w:rsidRPr="009A166C">
              <w:rPr>
                <w:rFonts w:ascii="Arial" w:hAnsi="Arial" w:cs="Arial"/>
                <w:iCs/>
                <w:sz w:val="20"/>
                <w:szCs w:val="20"/>
              </w:rPr>
              <w:t>euro</w:t>
            </w:r>
            <w:proofErr w:type="spellEnd"/>
            <w:r w:rsidRPr="009A166C">
              <w:rPr>
                <w:rFonts w:ascii="Arial" w:hAnsi="Arial" w:cs="Arial"/>
                <w:iCs/>
                <w:sz w:val="20"/>
                <w:szCs w:val="20"/>
              </w:rPr>
              <w:t xml:space="preserve">), kā arī noteikts, ka informācija tiks </w:t>
            </w:r>
            <w:r w:rsidRPr="009A166C">
              <w:rPr>
                <w:rFonts w:ascii="Arial" w:hAnsi="Arial" w:cs="Arial"/>
                <w:sz w:val="20"/>
                <w:szCs w:val="20"/>
              </w:rPr>
              <w:t xml:space="preserve">pārbaudīta Būvniecības informācijas sistēmā </w:t>
            </w:r>
            <w:bookmarkStart w:id="7" w:name="_Hlk534730382"/>
            <w:r w:rsidRPr="009A166C">
              <w:rPr>
                <w:rFonts w:ascii="Arial" w:hAnsi="Arial" w:cs="Arial"/>
                <w:sz w:val="20"/>
                <w:szCs w:val="20"/>
              </w:rPr>
              <w:t>(</w:t>
            </w:r>
            <w:hyperlink r:id="rId12" w:history="1">
              <w:r w:rsidRPr="009A166C">
                <w:rPr>
                  <w:rStyle w:val="Hipersaite"/>
                  <w:rFonts w:ascii="Arial" w:hAnsi="Arial" w:cs="Arial"/>
                  <w:sz w:val="20"/>
                  <w:szCs w:val="20"/>
                </w:rPr>
                <w:t>https://bis.gov.lv/</w:t>
              </w:r>
            </w:hyperlink>
            <w:r w:rsidRPr="009A166C">
              <w:rPr>
                <w:rFonts w:ascii="Arial" w:hAnsi="Arial" w:cs="Arial"/>
                <w:sz w:val="20"/>
                <w:szCs w:val="20"/>
              </w:rPr>
              <w:t>).</w:t>
            </w:r>
            <w:bookmarkEnd w:id="7"/>
          </w:p>
          <w:p w14:paraId="45BCE6D0" w14:textId="77777777" w:rsidR="009A166C" w:rsidRPr="009A166C" w:rsidRDefault="009A166C" w:rsidP="009A16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EF8875" w14:textId="77777777" w:rsidR="009A166C" w:rsidRPr="009A166C" w:rsidRDefault="009A166C" w:rsidP="009A16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166C">
              <w:rPr>
                <w:rFonts w:ascii="Arial" w:hAnsi="Arial" w:cs="Arial"/>
                <w:sz w:val="20"/>
                <w:szCs w:val="20"/>
              </w:rPr>
              <w:t>Ņemot vērā plānoto Konkursa piedāvājumu iesniegšanas termiņu un prasību par apgrozījumu iepriekšējos trīs finanšu gados vēršam Pasūtītāja uzmanību uz to, ka Būvniecības informācijas sistēmā (</w:t>
            </w:r>
            <w:hyperlink r:id="rId13" w:history="1">
              <w:r w:rsidRPr="009A166C">
                <w:rPr>
                  <w:rStyle w:val="Hipersaite"/>
                  <w:rFonts w:ascii="Arial" w:hAnsi="Arial" w:cs="Arial"/>
                  <w:sz w:val="20"/>
                  <w:szCs w:val="20"/>
                </w:rPr>
                <w:t>https://bis.gov.lv/</w:t>
              </w:r>
            </w:hyperlink>
            <w:r w:rsidRPr="009A166C">
              <w:rPr>
                <w:rFonts w:ascii="Arial" w:hAnsi="Arial" w:cs="Arial"/>
                <w:sz w:val="20"/>
                <w:szCs w:val="20"/>
              </w:rPr>
              <w:t>) informācija par pretendentu apgrozījumiem par 2018. gadu vēl var nebūt publicēta sakarā ar dažādiem šādas informācijas atjaunošanas termiņiem un sekojoši šo informāciju nevarēs pārbaudīt Konkursa nolikumā noteiktajā veidā.</w:t>
            </w:r>
          </w:p>
          <w:p w14:paraId="5252FAF8" w14:textId="77777777" w:rsidR="009A166C" w:rsidRPr="009A166C" w:rsidRDefault="009A166C" w:rsidP="009A16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6AE8CB" w14:textId="77777777" w:rsidR="009A166C" w:rsidRDefault="009A166C" w:rsidP="009A16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A166C">
              <w:rPr>
                <w:rFonts w:ascii="Arial" w:hAnsi="Arial" w:cs="Arial"/>
                <w:sz w:val="20"/>
                <w:szCs w:val="20"/>
              </w:rPr>
              <w:t xml:space="preserve">Lūdzam Pasūtītāju precizēt gadus, kuros pretendentam jāsasniedz vidējais finanšu apgrozījums būvniecībā </w:t>
            </w:r>
            <w:r w:rsidRPr="009A166C">
              <w:rPr>
                <w:rFonts w:ascii="Arial" w:hAnsi="Arial" w:cs="Arial"/>
                <w:iCs/>
                <w:sz w:val="20"/>
                <w:szCs w:val="20"/>
              </w:rPr>
              <w:t xml:space="preserve">1’500’000,00 EUR (viens miljons pieci simti tūkstoši </w:t>
            </w:r>
            <w:proofErr w:type="spellStart"/>
            <w:r w:rsidRPr="009A166C">
              <w:rPr>
                <w:rFonts w:ascii="Arial" w:hAnsi="Arial" w:cs="Arial"/>
                <w:iCs/>
                <w:sz w:val="20"/>
                <w:szCs w:val="20"/>
              </w:rPr>
              <w:t>euro</w:t>
            </w:r>
            <w:proofErr w:type="spellEnd"/>
            <w:r w:rsidRPr="009A166C">
              <w:rPr>
                <w:rFonts w:ascii="Arial" w:hAnsi="Arial" w:cs="Arial"/>
                <w:iCs/>
                <w:sz w:val="20"/>
                <w:szCs w:val="20"/>
              </w:rPr>
              <w:t xml:space="preserve">) apmērā, kā arī skaidrot, kādā veidā šī informācija tiks pārbaudīta. </w:t>
            </w:r>
          </w:p>
          <w:p w14:paraId="45CB751D" w14:textId="19B413DE" w:rsidR="009A166C" w:rsidRPr="009A166C" w:rsidRDefault="009A166C" w:rsidP="009A16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A166C" w:rsidRPr="00F465E9" w14:paraId="0B26F2A5" w14:textId="77777777" w:rsidTr="001155B8">
        <w:tc>
          <w:tcPr>
            <w:tcW w:w="1809" w:type="dxa"/>
          </w:tcPr>
          <w:p w14:paraId="4BB5323C" w14:textId="77777777" w:rsidR="009A166C" w:rsidRPr="00F465E9" w:rsidRDefault="009A166C" w:rsidP="001155B8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8505" w:type="dxa"/>
          </w:tcPr>
          <w:p w14:paraId="36A24B13" w14:textId="5A71C489" w:rsidR="009A166C" w:rsidRPr="00F465E9" w:rsidRDefault="009A166C" w:rsidP="001155B8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Komisija vērtēs pretendenta </w:t>
            </w:r>
            <w:r w:rsidRPr="009A16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finanšu apgrozījum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</w:t>
            </w:r>
            <w:r w:rsidRPr="009A16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būvniecībā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pēc </w:t>
            </w:r>
            <w:r w:rsidRPr="009A16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Būvniecības informācijas sistēmā (https://bis.gov.lv/)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pieejamās informācijas</w:t>
            </w:r>
            <w:r w:rsidR="006236F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uz to brīdi, kad notiks iesniegto piedāvājumu vērtēšana</w:t>
            </w:r>
            <w:bookmarkStart w:id="8" w:name="_GoBack"/>
            <w:bookmarkEnd w:id="8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9A166C" w:rsidRPr="00DC52B1" w14:paraId="17A863F5" w14:textId="77777777" w:rsidTr="001155B8">
        <w:tc>
          <w:tcPr>
            <w:tcW w:w="10314" w:type="dxa"/>
            <w:gridSpan w:val="2"/>
            <w:shd w:val="clear" w:color="auto" w:fill="CCFFCC"/>
          </w:tcPr>
          <w:p w14:paraId="7037619B" w14:textId="77777777" w:rsidR="009A166C" w:rsidRPr="00DC52B1" w:rsidRDefault="009A166C" w:rsidP="001155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460D3C41" w14:textId="77777777" w:rsidR="00433ED2" w:rsidRDefault="00433ED2" w:rsidP="00032669">
      <w:pPr>
        <w:rPr>
          <w:rFonts w:ascii="Arial" w:hAnsi="Arial" w:cs="Arial"/>
          <w:sz w:val="20"/>
          <w:szCs w:val="20"/>
          <w:lang w:eastAsia="en-US"/>
        </w:rPr>
      </w:pPr>
    </w:p>
    <w:bookmarkEnd w:id="5"/>
    <w:p w14:paraId="082FEBBB" w14:textId="77777777" w:rsidR="00B4657F" w:rsidRDefault="00B4657F" w:rsidP="00032669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p w14:paraId="7E7997DC" w14:textId="77777777" w:rsidR="006376F6" w:rsidRPr="00B4657F" w:rsidRDefault="006376F6" w:rsidP="00032669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sectPr w:rsidR="006376F6" w:rsidRPr="00B4657F" w:rsidSect="00032669">
      <w:headerReference w:type="default" r:id="rId14"/>
      <w:footerReference w:type="default" r:id="rId15"/>
      <w:headerReference w:type="first" r:id="rId16"/>
      <w:pgSz w:w="11906" w:h="16838"/>
      <w:pgMar w:top="851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AC077" w14:textId="77777777" w:rsidR="00A22426" w:rsidRDefault="00A22426" w:rsidP="009258C8">
      <w:r>
        <w:separator/>
      </w:r>
    </w:p>
  </w:endnote>
  <w:endnote w:type="continuationSeparator" w:id="0">
    <w:p w14:paraId="3A2AC583" w14:textId="77777777" w:rsidR="00A22426" w:rsidRDefault="00A22426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715269"/>
      <w:docPartObj>
        <w:docPartGallery w:val="Page Numbers (Bottom of Page)"/>
        <w:docPartUnique/>
      </w:docPartObj>
    </w:sdtPr>
    <w:sdtEndPr/>
    <w:sdtContent>
      <w:p w14:paraId="7AAD817D" w14:textId="554C0C20" w:rsidR="000F2912" w:rsidRDefault="000F2912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E31DE" w14:textId="6EB4227E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F2B96" w14:textId="77777777" w:rsidR="00A22426" w:rsidRDefault="00A22426" w:rsidP="009258C8">
      <w:r>
        <w:separator/>
      </w:r>
    </w:p>
  </w:footnote>
  <w:footnote w:type="continuationSeparator" w:id="0">
    <w:p w14:paraId="0C62699E" w14:textId="77777777" w:rsidR="00A22426" w:rsidRDefault="00A22426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0489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57CC" w14:textId="065F8032" w:rsidR="00EB209C" w:rsidRPr="00AE2B38" w:rsidRDefault="00685EC7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6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809"/>
    <w:multiLevelType w:val="hybridMultilevel"/>
    <w:tmpl w:val="0B8A3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DBF6C53"/>
    <w:multiLevelType w:val="multilevel"/>
    <w:tmpl w:val="17BE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6"/>
  </w:num>
  <w:num w:numId="9">
    <w:abstractNumId w:val="6"/>
  </w:num>
  <w:num w:numId="10">
    <w:abstractNumId w:val="5"/>
  </w:num>
  <w:num w:numId="11">
    <w:abstractNumId w:val="16"/>
  </w:num>
  <w:num w:numId="12">
    <w:abstractNumId w:val="6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5318"/>
    <w:rsid w:val="0001269C"/>
    <w:rsid w:val="000148CA"/>
    <w:rsid w:val="000212D5"/>
    <w:rsid w:val="000246E3"/>
    <w:rsid w:val="00032669"/>
    <w:rsid w:val="00036C5D"/>
    <w:rsid w:val="000466AE"/>
    <w:rsid w:val="00046F67"/>
    <w:rsid w:val="00051438"/>
    <w:rsid w:val="00051DC2"/>
    <w:rsid w:val="00052C2D"/>
    <w:rsid w:val="000667F2"/>
    <w:rsid w:val="00067C8C"/>
    <w:rsid w:val="0007583C"/>
    <w:rsid w:val="00083723"/>
    <w:rsid w:val="0009177F"/>
    <w:rsid w:val="000A6CFF"/>
    <w:rsid w:val="000B7112"/>
    <w:rsid w:val="000C6C0F"/>
    <w:rsid w:val="000C6F96"/>
    <w:rsid w:val="000D173B"/>
    <w:rsid w:val="000D60B6"/>
    <w:rsid w:val="000E2068"/>
    <w:rsid w:val="000F232A"/>
    <w:rsid w:val="000F2912"/>
    <w:rsid w:val="000F2AAC"/>
    <w:rsid w:val="000F5CE6"/>
    <w:rsid w:val="000F761E"/>
    <w:rsid w:val="000F7E92"/>
    <w:rsid w:val="001002D7"/>
    <w:rsid w:val="00116EAC"/>
    <w:rsid w:val="00120BDB"/>
    <w:rsid w:val="00122BBD"/>
    <w:rsid w:val="00126735"/>
    <w:rsid w:val="00133187"/>
    <w:rsid w:val="00133287"/>
    <w:rsid w:val="0013367A"/>
    <w:rsid w:val="00137A06"/>
    <w:rsid w:val="00142C09"/>
    <w:rsid w:val="0014680E"/>
    <w:rsid w:val="00155DC8"/>
    <w:rsid w:val="00165C38"/>
    <w:rsid w:val="00170F74"/>
    <w:rsid w:val="0017391A"/>
    <w:rsid w:val="0017483F"/>
    <w:rsid w:val="00175F38"/>
    <w:rsid w:val="00183F4A"/>
    <w:rsid w:val="00190FFF"/>
    <w:rsid w:val="00193F8A"/>
    <w:rsid w:val="001979CE"/>
    <w:rsid w:val="001A0F4A"/>
    <w:rsid w:val="001A1CF4"/>
    <w:rsid w:val="001A2F50"/>
    <w:rsid w:val="001A7DD9"/>
    <w:rsid w:val="001B0DCB"/>
    <w:rsid w:val="001C29B2"/>
    <w:rsid w:val="001D64EF"/>
    <w:rsid w:val="001D6E78"/>
    <w:rsid w:val="001E10BE"/>
    <w:rsid w:val="001E6C76"/>
    <w:rsid w:val="001F0C1D"/>
    <w:rsid w:val="001F5D9A"/>
    <w:rsid w:val="00200FA6"/>
    <w:rsid w:val="00202C90"/>
    <w:rsid w:val="00203942"/>
    <w:rsid w:val="002127F0"/>
    <w:rsid w:val="00241932"/>
    <w:rsid w:val="0024293C"/>
    <w:rsid w:val="00242DBA"/>
    <w:rsid w:val="00253EA0"/>
    <w:rsid w:val="002607C8"/>
    <w:rsid w:val="00264CAB"/>
    <w:rsid w:val="002652A2"/>
    <w:rsid w:val="0027523D"/>
    <w:rsid w:val="00277C93"/>
    <w:rsid w:val="002809D3"/>
    <w:rsid w:val="00287469"/>
    <w:rsid w:val="00290F67"/>
    <w:rsid w:val="00295DBD"/>
    <w:rsid w:val="002A30A3"/>
    <w:rsid w:val="002A4B70"/>
    <w:rsid w:val="002A71F7"/>
    <w:rsid w:val="002B4A91"/>
    <w:rsid w:val="002B6C46"/>
    <w:rsid w:val="002D6A25"/>
    <w:rsid w:val="002D6C54"/>
    <w:rsid w:val="002E0B9A"/>
    <w:rsid w:val="002E1235"/>
    <w:rsid w:val="002E5236"/>
    <w:rsid w:val="002F47DA"/>
    <w:rsid w:val="002F63C1"/>
    <w:rsid w:val="002F78D4"/>
    <w:rsid w:val="00302A1F"/>
    <w:rsid w:val="00303760"/>
    <w:rsid w:val="00304E53"/>
    <w:rsid w:val="003051CA"/>
    <w:rsid w:val="00306583"/>
    <w:rsid w:val="00310D7B"/>
    <w:rsid w:val="00317160"/>
    <w:rsid w:val="00317BE5"/>
    <w:rsid w:val="0033228A"/>
    <w:rsid w:val="00335FE5"/>
    <w:rsid w:val="00336E01"/>
    <w:rsid w:val="0033774C"/>
    <w:rsid w:val="00337C9D"/>
    <w:rsid w:val="003418D6"/>
    <w:rsid w:val="003519DF"/>
    <w:rsid w:val="00356E0F"/>
    <w:rsid w:val="003627B9"/>
    <w:rsid w:val="0036696F"/>
    <w:rsid w:val="00367417"/>
    <w:rsid w:val="00367AF4"/>
    <w:rsid w:val="00370AC9"/>
    <w:rsid w:val="00370B76"/>
    <w:rsid w:val="00374584"/>
    <w:rsid w:val="0037754B"/>
    <w:rsid w:val="00383A00"/>
    <w:rsid w:val="00393190"/>
    <w:rsid w:val="003A4354"/>
    <w:rsid w:val="003A4D06"/>
    <w:rsid w:val="003A7953"/>
    <w:rsid w:val="003B6651"/>
    <w:rsid w:val="003C3979"/>
    <w:rsid w:val="003C57B6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6BAA"/>
    <w:rsid w:val="00426CAC"/>
    <w:rsid w:val="00426CD6"/>
    <w:rsid w:val="00426D9B"/>
    <w:rsid w:val="00426F2E"/>
    <w:rsid w:val="00431511"/>
    <w:rsid w:val="00433ED2"/>
    <w:rsid w:val="00436C14"/>
    <w:rsid w:val="0044260F"/>
    <w:rsid w:val="00451FAD"/>
    <w:rsid w:val="00471357"/>
    <w:rsid w:val="004722D9"/>
    <w:rsid w:val="00472A30"/>
    <w:rsid w:val="00480FCA"/>
    <w:rsid w:val="00483745"/>
    <w:rsid w:val="00486A8E"/>
    <w:rsid w:val="00486D6F"/>
    <w:rsid w:val="0049522F"/>
    <w:rsid w:val="004975A3"/>
    <w:rsid w:val="004A0F85"/>
    <w:rsid w:val="004B4A7F"/>
    <w:rsid w:val="004D07E4"/>
    <w:rsid w:val="004D4550"/>
    <w:rsid w:val="004E2EB0"/>
    <w:rsid w:val="004E6652"/>
    <w:rsid w:val="004F24EE"/>
    <w:rsid w:val="004F2CE8"/>
    <w:rsid w:val="00511BC3"/>
    <w:rsid w:val="00512D8B"/>
    <w:rsid w:val="00513C45"/>
    <w:rsid w:val="00516FE2"/>
    <w:rsid w:val="00527B0B"/>
    <w:rsid w:val="00533CFC"/>
    <w:rsid w:val="00537B5A"/>
    <w:rsid w:val="00541322"/>
    <w:rsid w:val="00543085"/>
    <w:rsid w:val="00543B29"/>
    <w:rsid w:val="00546419"/>
    <w:rsid w:val="0055068B"/>
    <w:rsid w:val="00553AE3"/>
    <w:rsid w:val="00562702"/>
    <w:rsid w:val="0056331F"/>
    <w:rsid w:val="00563D75"/>
    <w:rsid w:val="0056464C"/>
    <w:rsid w:val="005A2099"/>
    <w:rsid w:val="005B33BE"/>
    <w:rsid w:val="005B5760"/>
    <w:rsid w:val="005B5B18"/>
    <w:rsid w:val="005C1FD9"/>
    <w:rsid w:val="005D255D"/>
    <w:rsid w:val="005D29D0"/>
    <w:rsid w:val="005D3BF3"/>
    <w:rsid w:val="005D5BFB"/>
    <w:rsid w:val="005E0637"/>
    <w:rsid w:val="005F5AA8"/>
    <w:rsid w:val="0060323C"/>
    <w:rsid w:val="00607627"/>
    <w:rsid w:val="00613439"/>
    <w:rsid w:val="00616BBA"/>
    <w:rsid w:val="006172F6"/>
    <w:rsid w:val="006236F1"/>
    <w:rsid w:val="0063189A"/>
    <w:rsid w:val="00633DE3"/>
    <w:rsid w:val="006345F5"/>
    <w:rsid w:val="006376F6"/>
    <w:rsid w:val="00646647"/>
    <w:rsid w:val="00650894"/>
    <w:rsid w:val="006514E4"/>
    <w:rsid w:val="00652C82"/>
    <w:rsid w:val="00652DDC"/>
    <w:rsid w:val="0066129B"/>
    <w:rsid w:val="00661894"/>
    <w:rsid w:val="00665022"/>
    <w:rsid w:val="00667B79"/>
    <w:rsid w:val="00672B91"/>
    <w:rsid w:val="00672E78"/>
    <w:rsid w:val="00682E66"/>
    <w:rsid w:val="0068443A"/>
    <w:rsid w:val="00685EC7"/>
    <w:rsid w:val="00685F30"/>
    <w:rsid w:val="00686A00"/>
    <w:rsid w:val="006922BF"/>
    <w:rsid w:val="0069314B"/>
    <w:rsid w:val="00694433"/>
    <w:rsid w:val="006A0E36"/>
    <w:rsid w:val="006B2C66"/>
    <w:rsid w:val="006B31A1"/>
    <w:rsid w:val="006C69D2"/>
    <w:rsid w:val="006D0D39"/>
    <w:rsid w:val="006D4FBC"/>
    <w:rsid w:val="006D5EF7"/>
    <w:rsid w:val="006D632F"/>
    <w:rsid w:val="006E5122"/>
    <w:rsid w:val="006E7097"/>
    <w:rsid w:val="006F4F03"/>
    <w:rsid w:val="006F7D94"/>
    <w:rsid w:val="00704F88"/>
    <w:rsid w:val="007056F9"/>
    <w:rsid w:val="0070791A"/>
    <w:rsid w:val="00710081"/>
    <w:rsid w:val="0072778E"/>
    <w:rsid w:val="007530E9"/>
    <w:rsid w:val="00765476"/>
    <w:rsid w:val="0076570B"/>
    <w:rsid w:val="007657E6"/>
    <w:rsid w:val="00772B80"/>
    <w:rsid w:val="00780C90"/>
    <w:rsid w:val="00780DE5"/>
    <w:rsid w:val="00783EF5"/>
    <w:rsid w:val="00793747"/>
    <w:rsid w:val="007A08C9"/>
    <w:rsid w:val="007A1270"/>
    <w:rsid w:val="007A61BE"/>
    <w:rsid w:val="007B661C"/>
    <w:rsid w:val="007C03CF"/>
    <w:rsid w:val="007C0545"/>
    <w:rsid w:val="007C184C"/>
    <w:rsid w:val="007C7317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6E7E"/>
    <w:rsid w:val="008A3384"/>
    <w:rsid w:val="008A65EA"/>
    <w:rsid w:val="008B10F6"/>
    <w:rsid w:val="008B4511"/>
    <w:rsid w:val="008C786C"/>
    <w:rsid w:val="008E3AD1"/>
    <w:rsid w:val="008F2302"/>
    <w:rsid w:val="008F6D32"/>
    <w:rsid w:val="00910861"/>
    <w:rsid w:val="00914C9A"/>
    <w:rsid w:val="0092169B"/>
    <w:rsid w:val="0092513C"/>
    <w:rsid w:val="009258C8"/>
    <w:rsid w:val="00931ABE"/>
    <w:rsid w:val="009349E7"/>
    <w:rsid w:val="00935A78"/>
    <w:rsid w:val="00936DB7"/>
    <w:rsid w:val="00937989"/>
    <w:rsid w:val="00941C5B"/>
    <w:rsid w:val="00943B9B"/>
    <w:rsid w:val="009440E9"/>
    <w:rsid w:val="009450F0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931B0"/>
    <w:rsid w:val="00993B83"/>
    <w:rsid w:val="00993E99"/>
    <w:rsid w:val="009A166C"/>
    <w:rsid w:val="009A231C"/>
    <w:rsid w:val="009A3836"/>
    <w:rsid w:val="009A5617"/>
    <w:rsid w:val="009B2ED3"/>
    <w:rsid w:val="009B53A3"/>
    <w:rsid w:val="009B5659"/>
    <w:rsid w:val="009B7FC5"/>
    <w:rsid w:val="009C5FC9"/>
    <w:rsid w:val="009C7D67"/>
    <w:rsid w:val="009D2242"/>
    <w:rsid w:val="009D713C"/>
    <w:rsid w:val="009E365C"/>
    <w:rsid w:val="009E77A0"/>
    <w:rsid w:val="009F674C"/>
    <w:rsid w:val="00A01D7F"/>
    <w:rsid w:val="00A02E57"/>
    <w:rsid w:val="00A04216"/>
    <w:rsid w:val="00A22426"/>
    <w:rsid w:val="00A24696"/>
    <w:rsid w:val="00A25642"/>
    <w:rsid w:val="00A27DB1"/>
    <w:rsid w:val="00A43292"/>
    <w:rsid w:val="00A55CAE"/>
    <w:rsid w:val="00A56EAF"/>
    <w:rsid w:val="00A76739"/>
    <w:rsid w:val="00A80BAA"/>
    <w:rsid w:val="00A8500B"/>
    <w:rsid w:val="00A90E5F"/>
    <w:rsid w:val="00A92E31"/>
    <w:rsid w:val="00AA2F5E"/>
    <w:rsid w:val="00AA61B4"/>
    <w:rsid w:val="00AB31C1"/>
    <w:rsid w:val="00AB6E2E"/>
    <w:rsid w:val="00AB7C86"/>
    <w:rsid w:val="00AD177F"/>
    <w:rsid w:val="00AD2C42"/>
    <w:rsid w:val="00AE1A32"/>
    <w:rsid w:val="00AE2B0F"/>
    <w:rsid w:val="00AE2B38"/>
    <w:rsid w:val="00AE3706"/>
    <w:rsid w:val="00B0260B"/>
    <w:rsid w:val="00B06E11"/>
    <w:rsid w:val="00B108D7"/>
    <w:rsid w:val="00B123C2"/>
    <w:rsid w:val="00B15588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E82"/>
    <w:rsid w:val="00B5730F"/>
    <w:rsid w:val="00B60267"/>
    <w:rsid w:val="00B656C7"/>
    <w:rsid w:val="00B737BC"/>
    <w:rsid w:val="00B83018"/>
    <w:rsid w:val="00B84D40"/>
    <w:rsid w:val="00B916E9"/>
    <w:rsid w:val="00B92FED"/>
    <w:rsid w:val="00B9549D"/>
    <w:rsid w:val="00B96D9D"/>
    <w:rsid w:val="00B97A1E"/>
    <w:rsid w:val="00BA19DA"/>
    <w:rsid w:val="00BA4554"/>
    <w:rsid w:val="00BA5774"/>
    <w:rsid w:val="00BB020C"/>
    <w:rsid w:val="00BC5380"/>
    <w:rsid w:val="00BD56A5"/>
    <w:rsid w:val="00BE0445"/>
    <w:rsid w:val="00BE6206"/>
    <w:rsid w:val="00BF49CC"/>
    <w:rsid w:val="00BF5887"/>
    <w:rsid w:val="00BF6D66"/>
    <w:rsid w:val="00C02AC6"/>
    <w:rsid w:val="00C02B03"/>
    <w:rsid w:val="00C26F1E"/>
    <w:rsid w:val="00C30662"/>
    <w:rsid w:val="00C313D8"/>
    <w:rsid w:val="00C42A17"/>
    <w:rsid w:val="00C446CD"/>
    <w:rsid w:val="00C47E80"/>
    <w:rsid w:val="00C6394C"/>
    <w:rsid w:val="00C66B1D"/>
    <w:rsid w:val="00C72644"/>
    <w:rsid w:val="00C728D7"/>
    <w:rsid w:val="00C81847"/>
    <w:rsid w:val="00C81D0A"/>
    <w:rsid w:val="00C923A7"/>
    <w:rsid w:val="00C96EE9"/>
    <w:rsid w:val="00CA1250"/>
    <w:rsid w:val="00CA1CAD"/>
    <w:rsid w:val="00CA2BE6"/>
    <w:rsid w:val="00CA3645"/>
    <w:rsid w:val="00CA4BAD"/>
    <w:rsid w:val="00CA6A5F"/>
    <w:rsid w:val="00CA70B1"/>
    <w:rsid w:val="00CB7C80"/>
    <w:rsid w:val="00CD1907"/>
    <w:rsid w:val="00CE38D6"/>
    <w:rsid w:val="00CE58FC"/>
    <w:rsid w:val="00CE7E57"/>
    <w:rsid w:val="00CF05C5"/>
    <w:rsid w:val="00CF2F6F"/>
    <w:rsid w:val="00CF74E4"/>
    <w:rsid w:val="00D03C2E"/>
    <w:rsid w:val="00D1697F"/>
    <w:rsid w:val="00D25DF2"/>
    <w:rsid w:val="00D436CA"/>
    <w:rsid w:val="00D52EB5"/>
    <w:rsid w:val="00D63773"/>
    <w:rsid w:val="00D65789"/>
    <w:rsid w:val="00D73524"/>
    <w:rsid w:val="00D7566E"/>
    <w:rsid w:val="00D85128"/>
    <w:rsid w:val="00D8526D"/>
    <w:rsid w:val="00D95963"/>
    <w:rsid w:val="00DB58CA"/>
    <w:rsid w:val="00DC04D3"/>
    <w:rsid w:val="00DC37D9"/>
    <w:rsid w:val="00DC52B1"/>
    <w:rsid w:val="00DD320A"/>
    <w:rsid w:val="00DD3CA1"/>
    <w:rsid w:val="00DD448B"/>
    <w:rsid w:val="00DE53A4"/>
    <w:rsid w:val="00DF489E"/>
    <w:rsid w:val="00DF6B01"/>
    <w:rsid w:val="00DF7405"/>
    <w:rsid w:val="00E1321C"/>
    <w:rsid w:val="00E13E07"/>
    <w:rsid w:val="00E217C1"/>
    <w:rsid w:val="00E25266"/>
    <w:rsid w:val="00E30DF4"/>
    <w:rsid w:val="00E324A1"/>
    <w:rsid w:val="00E3394D"/>
    <w:rsid w:val="00E406AB"/>
    <w:rsid w:val="00E4129D"/>
    <w:rsid w:val="00E53896"/>
    <w:rsid w:val="00E62453"/>
    <w:rsid w:val="00E6297F"/>
    <w:rsid w:val="00E652D0"/>
    <w:rsid w:val="00E726D2"/>
    <w:rsid w:val="00E746CC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5401"/>
    <w:rsid w:val="00ED3FE4"/>
    <w:rsid w:val="00EE026C"/>
    <w:rsid w:val="00EE20D2"/>
    <w:rsid w:val="00EE7891"/>
    <w:rsid w:val="00EF0A80"/>
    <w:rsid w:val="00EF0FFD"/>
    <w:rsid w:val="00F00003"/>
    <w:rsid w:val="00F14D7E"/>
    <w:rsid w:val="00F26A2A"/>
    <w:rsid w:val="00F274BF"/>
    <w:rsid w:val="00F30DB7"/>
    <w:rsid w:val="00F44FBD"/>
    <w:rsid w:val="00F465E9"/>
    <w:rsid w:val="00F5167C"/>
    <w:rsid w:val="00F517EA"/>
    <w:rsid w:val="00F524E5"/>
    <w:rsid w:val="00F55E99"/>
    <w:rsid w:val="00F56656"/>
    <w:rsid w:val="00F5694E"/>
    <w:rsid w:val="00F61816"/>
    <w:rsid w:val="00F66576"/>
    <w:rsid w:val="00F668B3"/>
    <w:rsid w:val="00F73792"/>
    <w:rsid w:val="00F7571A"/>
    <w:rsid w:val="00F82B76"/>
    <w:rsid w:val="00F86827"/>
    <w:rsid w:val="00F968BE"/>
    <w:rsid w:val="00FA4686"/>
    <w:rsid w:val="00FA7F76"/>
    <w:rsid w:val="00FB23EF"/>
    <w:rsid w:val="00FD02AC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79D389"/>
  <w15:docId w15:val="{4488517D-E1A3-4DB7-B8E9-F2A45D55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3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basedOn w:val="Noklusjumarindkopasfonts"/>
    <w:link w:val="Virsraksts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rsid w:val="00DF74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basedOn w:val="Noklusjumarindkopasfonts"/>
    <w:uiPriority w:val="20"/>
    <w:qFormat/>
    <w:rsid w:val="009D713C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Noklusjumarindkopasfonts"/>
    <w:rsid w:val="0020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is.gov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s.gov.l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85FE-55DE-4C3D-98F4-CD74DBC7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5295</Words>
  <Characters>3019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Baiba Akmentina-Cernecova</cp:lastModifiedBy>
  <cp:revision>6</cp:revision>
  <cp:lastPrinted>2019-01-09T09:35:00Z</cp:lastPrinted>
  <dcterms:created xsi:type="dcterms:W3CDTF">2019-01-08T15:20:00Z</dcterms:created>
  <dcterms:modified xsi:type="dcterms:W3CDTF">2019-01-09T11:56:00Z</dcterms:modified>
</cp:coreProperties>
</file>